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5C8F" w14:textId="77777777" w:rsidR="00D275E5" w:rsidRDefault="00D275E5" w:rsidP="002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</w:pPr>
    </w:p>
    <w:p w14:paraId="691C9D76" w14:textId="4DFFD0F6" w:rsidR="00246121" w:rsidRDefault="00D275E5" w:rsidP="002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  <w:t>California Water Institute</w:t>
      </w:r>
    </w:p>
    <w:p w14:paraId="46A74465" w14:textId="01190CCA" w:rsidR="00D275E5" w:rsidRPr="00246121" w:rsidRDefault="002141AE" w:rsidP="002461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  <w:t>Special Report</w:t>
      </w:r>
    </w:p>
    <w:p w14:paraId="4DCE995D" w14:textId="77777777" w:rsidR="00246121" w:rsidRDefault="00246121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EF85DC3" w14:textId="3E56842E" w:rsidR="006C789D" w:rsidRDefault="00D275E5" w:rsidP="00D44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“</w:t>
      </w:r>
      <w:r w:rsidR="00BB5015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A</w:t>
      </w:r>
      <w:r w:rsidR="004F2718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n Institutional</w:t>
      </w:r>
      <w:r w:rsidR="00BB5015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Design for</w:t>
      </w:r>
      <w:r w:rsidR="00ED402D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Organizing</w:t>
      </w:r>
      <w:r w:rsidR="00BB5015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Disadvantaged</w:t>
      </w:r>
      <w:r w:rsidR="00D442AF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, Rural</w:t>
      </w:r>
      <w:r w:rsidR="00BB5015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and Small Community </w:t>
      </w:r>
      <w:r w:rsidR="00123D25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Drinking Water Systems and </w:t>
      </w:r>
      <w:r w:rsidR="00BC2BE4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Other</w:t>
      </w:r>
      <w:r w:rsidR="0026391D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Related</w:t>
      </w:r>
      <w:r w:rsidR="00123D25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Services</w:t>
      </w:r>
      <w:r w:rsidR="00ED402D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for Sustainability</w:t>
      </w:r>
      <w:r w:rsidR="00D442AF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”</w:t>
      </w:r>
    </w:p>
    <w:p w14:paraId="74C075A2" w14:textId="77777777" w:rsidR="008647DD" w:rsidRDefault="008647DD" w:rsidP="00D44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0B74194F" w14:textId="217F973E" w:rsidR="008647DD" w:rsidRDefault="008647DD" w:rsidP="00D44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Prepared for the California Partnership for the San Joaquin Valley</w:t>
      </w:r>
    </w:p>
    <w:p w14:paraId="6362ED40" w14:textId="664FAD7D" w:rsidR="008647DD" w:rsidRPr="00A96EB4" w:rsidRDefault="008647DD" w:rsidP="00D44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Water Work Group and Board of Directors</w:t>
      </w:r>
    </w:p>
    <w:p w14:paraId="57862558" w14:textId="77777777" w:rsidR="002A79E8" w:rsidRPr="00A96EB4" w:rsidRDefault="002A79E8" w:rsidP="008E27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4B45DBFF" w14:textId="7ACAF782" w:rsidR="008E276E" w:rsidRPr="00A96EB4" w:rsidRDefault="00E45EAD" w:rsidP="008E27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br/>
      </w:r>
      <w:r w:rsidR="008E276E" w:rsidRPr="00A96EB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July 2024</w:t>
      </w:r>
    </w:p>
    <w:p w14:paraId="28509F3B" w14:textId="5215968F" w:rsidR="00E2355C" w:rsidRDefault="00E2355C" w:rsidP="00D44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70B5D51" w14:textId="77777777" w:rsidR="00E2355C" w:rsidRDefault="00E2355C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AD69CAC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EA17A63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D3F68C8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073EDF4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0CC28D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780DB91" w14:textId="77777777" w:rsidR="00FB411A" w:rsidRDefault="00FB411A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3D3CD01" w14:textId="77777777" w:rsidR="00FB411A" w:rsidRDefault="00FB411A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6244148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66476DF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B5EEF97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88C4EC4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3960702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DB7EE0A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3ADDAFE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AD60336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EE169AE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B4558A5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A6FDE7B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5B5732B" w14:textId="77777777" w:rsidR="008E276E" w:rsidRDefault="008E276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ABF5D33" w14:textId="478D7044" w:rsidR="006C789D" w:rsidRDefault="006415C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Prepared by:</w:t>
      </w:r>
      <w:r w:rsidR="00D411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 w:rsidR="00D411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>Sarge Green</w:t>
      </w:r>
      <w:r w:rsidR="00ED12AA">
        <w:rPr>
          <w:rStyle w:val="EndnoteReference"/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endnoteReference w:id="1"/>
      </w:r>
      <w:r w:rsidR="00D411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r w:rsidR="005C310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Maria Kennedy</w:t>
      </w:r>
      <w:r w:rsidR="00ED12AA">
        <w:rPr>
          <w:rStyle w:val="EndnoteReference"/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endnoteReference w:id="2"/>
      </w:r>
      <w:r w:rsidR="005C310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Karl Longley</w:t>
      </w:r>
      <w:r w:rsidR="00ED12AA">
        <w:rPr>
          <w:rStyle w:val="EndnoteReference"/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endnoteReference w:id="3"/>
      </w:r>
    </w:p>
    <w:p w14:paraId="3C4F68E7" w14:textId="77777777" w:rsidR="006415CE" w:rsidRDefault="006415C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7867A6C" w14:textId="77777777" w:rsidR="006415CE" w:rsidRDefault="006415C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4D15C2E" w14:textId="77777777" w:rsidR="006415CE" w:rsidRDefault="006415C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62AB033" w14:textId="4FAE5221" w:rsidR="00A96EB4" w:rsidRDefault="006415CE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With assistance from:</w:t>
      </w:r>
      <w:r w:rsidR="005C310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5C310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</w:p>
    <w:p w14:paraId="03317B6B" w14:textId="77777777" w:rsidR="00314C4A" w:rsidRDefault="00314C4A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57A39C3" w14:textId="77777777" w:rsidR="00314C4A" w:rsidRDefault="00314C4A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358E73C" w14:textId="77777777" w:rsidR="00314C4A" w:rsidRDefault="00314C4A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C22FB38" w14:textId="77777777" w:rsidR="00314C4A" w:rsidRDefault="00314C4A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40EA7DA" w14:textId="77777777" w:rsidR="00A96EB4" w:rsidRDefault="00A96EB4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E23EC9E" w14:textId="706BC356" w:rsidR="00E45EAD" w:rsidRDefault="00E45EAD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45EA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Introduction</w:t>
      </w:r>
    </w:p>
    <w:p w14:paraId="28B3A2F6" w14:textId="77777777" w:rsidR="00E2355C" w:rsidRDefault="00E2355C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BF66592" w14:textId="671EECCA" w:rsidR="00444041" w:rsidRPr="002F6A11" w:rsidRDefault="000550D7" w:rsidP="002A79E8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2F6A11">
        <w:rPr>
          <w:rFonts w:ascii="Times New Roman" w:hAnsi="Times New Roman" w:cs="Times New Roman"/>
        </w:rPr>
        <w:t xml:space="preserve">Disadvantaged </w:t>
      </w:r>
      <w:r w:rsidR="00E11FC4">
        <w:rPr>
          <w:rFonts w:ascii="Times New Roman" w:hAnsi="Times New Roman" w:cs="Times New Roman"/>
        </w:rPr>
        <w:t>c</w:t>
      </w:r>
      <w:r w:rsidRPr="002F6A11">
        <w:rPr>
          <w:rFonts w:ascii="Times New Roman" w:hAnsi="Times New Roman" w:cs="Times New Roman"/>
        </w:rPr>
        <w:t>ommunities (DAC)</w:t>
      </w:r>
      <w:r w:rsidR="00B22762">
        <w:rPr>
          <w:rStyle w:val="FootnoteReference"/>
          <w:rFonts w:ascii="Times New Roman" w:hAnsi="Times New Roman" w:cs="Times New Roman"/>
        </w:rPr>
        <w:footnoteReference w:id="1"/>
      </w:r>
      <w:r w:rsidR="00832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small </w:t>
      </w:r>
      <w:r w:rsidR="00346EC1">
        <w:rPr>
          <w:rFonts w:ascii="Times New Roman" w:hAnsi="Times New Roman" w:cs="Times New Roman"/>
        </w:rPr>
        <w:t xml:space="preserve">drinking water </w:t>
      </w:r>
      <w:r>
        <w:rPr>
          <w:rFonts w:ascii="Times New Roman" w:hAnsi="Times New Roman" w:cs="Times New Roman"/>
        </w:rPr>
        <w:t xml:space="preserve">systems </w:t>
      </w:r>
      <w:r w:rsidRPr="002F6A11">
        <w:rPr>
          <w:rFonts w:ascii="Times New Roman" w:hAnsi="Times New Roman" w:cs="Times New Roman"/>
        </w:rPr>
        <w:t>proliferate</w:t>
      </w:r>
      <w:r w:rsidR="00A45D63">
        <w:rPr>
          <w:rStyle w:val="FootnoteReference"/>
          <w:rFonts w:ascii="Times New Roman" w:hAnsi="Times New Roman" w:cs="Times New Roman"/>
        </w:rPr>
        <w:footnoteReference w:id="2"/>
      </w:r>
      <w:r w:rsidRPr="002F6A11">
        <w:rPr>
          <w:rFonts w:ascii="Times New Roman" w:hAnsi="Times New Roman" w:cs="Times New Roman"/>
        </w:rPr>
        <w:t xml:space="preserve"> in </w:t>
      </w:r>
      <w:r w:rsidR="00436BAE">
        <w:rPr>
          <w:rFonts w:ascii="Times New Roman" w:hAnsi="Times New Roman" w:cs="Times New Roman"/>
        </w:rPr>
        <w:t>both</w:t>
      </w:r>
      <w:r w:rsidRPr="002F6A11">
        <w:rPr>
          <w:rFonts w:ascii="Times New Roman" w:hAnsi="Times New Roman" w:cs="Times New Roman"/>
        </w:rPr>
        <w:t xml:space="preserve"> rural </w:t>
      </w:r>
      <w:r>
        <w:rPr>
          <w:rFonts w:ascii="Times New Roman" w:hAnsi="Times New Roman" w:cs="Times New Roman"/>
        </w:rPr>
        <w:t xml:space="preserve">and urban </w:t>
      </w:r>
      <w:r w:rsidRPr="002F6A11">
        <w:rPr>
          <w:rFonts w:ascii="Times New Roman" w:hAnsi="Times New Roman" w:cs="Times New Roman"/>
        </w:rPr>
        <w:t xml:space="preserve">areas </w:t>
      </w:r>
      <w:r w:rsidR="00346EC1">
        <w:rPr>
          <w:rFonts w:ascii="Times New Roman" w:hAnsi="Times New Roman" w:cs="Times New Roman"/>
        </w:rPr>
        <w:t>throughout</w:t>
      </w:r>
      <w:r w:rsidRPr="002F6A11">
        <w:rPr>
          <w:rFonts w:ascii="Times New Roman" w:hAnsi="Times New Roman" w:cs="Times New Roman"/>
        </w:rPr>
        <w:t xml:space="preserve"> California, and they lack the </w:t>
      </w:r>
      <w:r w:rsidR="004766CE">
        <w:rPr>
          <w:rFonts w:ascii="Times New Roman" w:hAnsi="Times New Roman" w:cs="Times New Roman"/>
        </w:rPr>
        <w:t>tec</w:t>
      </w:r>
      <w:r w:rsidR="004A37E1">
        <w:rPr>
          <w:rFonts w:ascii="Times New Roman" w:hAnsi="Times New Roman" w:cs="Times New Roman"/>
        </w:rPr>
        <w:t>hnical</w:t>
      </w:r>
      <w:r w:rsidRPr="002F6A11">
        <w:rPr>
          <w:rFonts w:ascii="Times New Roman" w:hAnsi="Times New Roman" w:cs="Times New Roman"/>
        </w:rPr>
        <w:t xml:space="preserve">, managerial, and </w:t>
      </w:r>
      <w:r w:rsidR="004A37E1">
        <w:rPr>
          <w:rFonts w:ascii="Times New Roman" w:hAnsi="Times New Roman" w:cs="Times New Roman"/>
        </w:rPr>
        <w:t>financial</w:t>
      </w:r>
      <w:r w:rsidRPr="002F6A11">
        <w:rPr>
          <w:rFonts w:ascii="Times New Roman" w:hAnsi="Times New Roman" w:cs="Times New Roman"/>
        </w:rPr>
        <w:t xml:space="preserve"> </w:t>
      </w:r>
      <w:r w:rsidR="00B22762">
        <w:rPr>
          <w:rFonts w:ascii="Times New Roman" w:hAnsi="Times New Roman" w:cs="Times New Roman"/>
        </w:rPr>
        <w:t>(TMF)</w:t>
      </w:r>
      <w:r w:rsidR="00E11FC4">
        <w:rPr>
          <w:rStyle w:val="FootnoteReference"/>
          <w:rFonts w:ascii="Times New Roman" w:hAnsi="Times New Roman" w:cs="Times New Roman"/>
        </w:rPr>
        <w:footnoteReference w:id="3"/>
      </w:r>
      <w:r w:rsidR="00452BF1">
        <w:rPr>
          <w:rFonts w:ascii="Times New Roman" w:hAnsi="Times New Roman" w:cs="Times New Roman"/>
        </w:rPr>
        <w:t xml:space="preserve"> r</w:t>
      </w:r>
      <w:r w:rsidRPr="002F6A11">
        <w:rPr>
          <w:rFonts w:ascii="Times New Roman" w:hAnsi="Times New Roman" w:cs="Times New Roman"/>
        </w:rPr>
        <w:t xml:space="preserve">esources to supply their customers with safe, potable supplies. </w:t>
      </w:r>
      <w:r>
        <w:rPr>
          <w:rFonts w:ascii="Times New Roman" w:hAnsi="Times New Roman" w:cs="Times New Roman"/>
        </w:rPr>
        <w:t>Certain areas such as the</w:t>
      </w:r>
      <w:r w:rsidRPr="002F6A11">
        <w:rPr>
          <w:rFonts w:ascii="Times New Roman" w:hAnsi="Times New Roman" w:cs="Times New Roman"/>
        </w:rPr>
        <w:t xml:space="preserve"> San Joaquin Valley</w:t>
      </w:r>
      <w:r>
        <w:rPr>
          <w:rFonts w:ascii="Times New Roman" w:hAnsi="Times New Roman" w:cs="Times New Roman"/>
        </w:rPr>
        <w:t xml:space="preserve"> and </w:t>
      </w:r>
      <w:r w:rsidR="0041329A">
        <w:rPr>
          <w:rFonts w:ascii="Times New Roman" w:hAnsi="Times New Roman" w:cs="Times New Roman"/>
        </w:rPr>
        <w:t xml:space="preserve">rural </w:t>
      </w:r>
      <w:r w:rsidR="00A154F0">
        <w:rPr>
          <w:rFonts w:ascii="Times New Roman" w:hAnsi="Times New Roman" w:cs="Times New Roman"/>
        </w:rPr>
        <w:t xml:space="preserve">parts of </w:t>
      </w:r>
      <w:r>
        <w:rPr>
          <w:rFonts w:ascii="Times New Roman" w:hAnsi="Times New Roman" w:cs="Times New Roman"/>
        </w:rPr>
        <w:t>Los Angeles County, including the Antelope Valley</w:t>
      </w:r>
      <w:r w:rsidR="00452BF1">
        <w:rPr>
          <w:rStyle w:val="FootnoteReference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, are examples of areas that are</w:t>
      </w:r>
      <w:r w:rsidRPr="002F6A11">
        <w:rPr>
          <w:rFonts w:ascii="Times New Roman" w:hAnsi="Times New Roman" w:cs="Times New Roman"/>
        </w:rPr>
        <w:t xml:space="preserve"> especially challenged with these conditions.</w:t>
      </w:r>
      <w:r w:rsidR="00444041">
        <w:rPr>
          <w:rFonts w:ascii="Times New Roman" w:hAnsi="Times New Roman" w:cs="Times New Roman"/>
        </w:rPr>
        <w:t xml:space="preserve"> S</w:t>
      </w:r>
      <w:r w:rsidR="00444041" w:rsidRPr="002F6A11">
        <w:rPr>
          <w:rFonts w:ascii="Times New Roman" w:hAnsi="Times New Roman" w:cs="Times New Roman"/>
        </w:rPr>
        <w:t>ince Proposition 50</w:t>
      </w:r>
      <w:r w:rsidR="00452BF1">
        <w:rPr>
          <w:rStyle w:val="FootnoteReference"/>
          <w:rFonts w:ascii="Times New Roman" w:hAnsi="Times New Roman" w:cs="Times New Roman"/>
        </w:rPr>
        <w:footnoteReference w:id="5"/>
      </w:r>
      <w:r w:rsidR="00444041" w:rsidRPr="002F6A11">
        <w:rPr>
          <w:rFonts w:ascii="Times New Roman" w:hAnsi="Times New Roman" w:cs="Times New Roman"/>
        </w:rPr>
        <w:t xml:space="preserve"> was passed in 2002, numerous initiatives have been launched to address the safe and potable drinking water issues faced by DACs</w:t>
      </w:r>
      <w:r w:rsidR="00444041">
        <w:rPr>
          <w:rFonts w:ascii="Times New Roman" w:hAnsi="Times New Roman" w:cs="Times New Roman"/>
        </w:rPr>
        <w:t xml:space="preserve"> and small communities</w:t>
      </w:r>
      <w:r w:rsidR="00444041" w:rsidRPr="002F6A11">
        <w:rPr>
          <w:rFonts w:ascii="Times New Roman" w:hAnsi="Times New Roman" w:cs="Times New Roman"/>
        </w:rPr>
        <w:t>. While there has been some success</w:t>
      </w:r>
      <w:r w:rsidR="00444041">
        <w:rPr>
          <w:rFonts w:ascii="Times New Roman" w:hAnsi="Times New Roman" w:cs="Times New Roman"/>
        </w:rPr>
        <w:t>,</w:t>
      </w:r>
      <w:r w:rsidR="00444041" w:rsidRPr="002F6A11">
        <w:rPr>
          <w:rFonts w:ascii="Times New Roman" w:hAnsi="Times New Roman" w:cs="Times New Roman"/>
        </w:rPr>
        <w:t xml:space="preserve"> most DACs</w:t>
      </w:r>
      <w:r w:rsidR="00444041" w:rsidRPr="008B7F48">
        <w:rPr>
          <w:rFonts w:ascii="Times New Roman" w:hAnsi="Times New Roman" w:cs="Times New Roman"/>
        </w:rPr>
        <w:t xml:space="preserve"> </w:t>
      </w:r>
      <w:r w:rsidR="00444041">
        <w:rPr>
          <w:rFonts w:ascii="Times New Roman" w:hAnsi="Times New Roman" w:cs="Times New Roman"/>
        </w:rPr>
        <w:t>and small communities</w:t>
      </w:r>
      <w:r w:rsidR="00444041" w:rsidRPr="002F6A11">
        <w:rPr>
          <w:rFonts w:ascii="Times New Roman" w:hAnsi="Times New Roman" w:cs="Times New Roman"/>
        </w:rPr>
        <w:t xml:space="preserve"> are still without safe</w:t>
      </w:r>
      <w:r w:rsidR="00AB6320">
        <w:rPr>
          <w:rFonts w:ascii="Times New Roman" w:hAnsi="Times New Roman" w:cs="Times New Roman"/>
        </w:rPr>
        <w:t xml:space="preserve"> </w:t>
      </w:r>
      <w:r w:rsidR="00444041" w:rsidRPr="002F6A11">
        <w:rPr>
          <w:rFonts w:ascii="Times New Roman" w:hAnsi="Times New Roman" w:cs="Times New Roman"/>
        </w:rPr>
        <w:t>water supplies</w:t>
      </w:r>
      <w:r w:rsidR="00373C6B">
        <w:rPr>
          <w:rFonts w:ascii="Times New Roman" w:hAnsi="Times New Roman" w:cs="Times New Roman"/>
        </w:rPr>
        <w:t xml:space="preserve"> or are not compliance with the requirements for proper operation of a system</w:t>
      </w:r>
      <w:r w:rsidR="00444041" w:rsidRPr="002F6A11">
        <w:rPr>
          <w:rFonts w:ascii="Times New Roman" w:hAnsi="Times New Roman" w:cs="Times New Roman"/>
        </w:rPr>
        <w:t xml:space="preserve"> and there is no clear path forward to realize the day when all DACs</w:t>
      </w:r>
      <w:r w:rsidR="0082212E">
        <w:rPr>
          <w:rFonts w:ascii="Times New Roman" w:hAnsi="Times New Roman" w:cs="Times New Roman"/>
        </w:rPr>
        <w:t>, rural</w:t>
      </w:r>
      <w:r w:rsidR="00444041" w:rsidRPr="008B7F48">
        <w:rPr>
          <w:rFonts w:ascii="Times New Roman" w:hAnsi="Times New Roman" w:cs="Times New Roman"/>
        </w:rPr>
        <w:t xml:space="preserve"> </w:t>
      </w:r>
      <w:r w:rsidR="00444041">
        <w:rPr>
          <w:rFonts w:ascii="Times New Roman" w:hAnsi="Times New Roman" w:cs="Times New Roman"/>
        </w:rPr>
        <w:t>and small communities</w:t>
      </w:r>
      <w:r w:rsidR="00444041" w:rsidRPr="002F6A11">
        <w:rPr>
          <w:rFonts w:ascii="Times New Roman" w:hAnsi="Times New Roman" w:cs="Times New Roman"/>
        </w:rPr>
        <w:t xml:space="preserve"> will have reliable</w:t>
      </w:r>
      <w:r w:rsidR="00AE3448">
        <w:rPr>
          <w:rFonts w:ascii="Times New Roman" w:hAnsi="Times New Roman" w:cs="Times New Roman"/>
        </w:rPr>
        <w:t>, compliant</w:t>
      </w:r>
      <w:r w:rsidR="00444041" w:rsidRPr="002F6A11">
        <w:rPr>
          <w:rFonts w:ascii="Times New Roman" w:hAnsi="Times New Roman" w:cs="Times New Roman"/>
        </w:rPr>
        <w:t xml:space="preserve"> and </w:t>
      </w:r>
      <w:r w:rsidR="006A35D6" w:rsidRPr="002F6A11">
        <w:rPr>
          <w:rFonts w:ascii="Times New Roman" w:hAnsi="Times New Roman" w:cs="Times New Roman"/>
        </w:rPr>
        <w:t>sustainable supplies</w:t>
      </w:r>
      <w:r w:rsidR="00C6269D">
        <w:rPr>
          <w:rFonts w:ascii="Times New Roman" w:hAnsi="Times New Roman" w:cs="Times New Roman"/>
        </w:rPr>
        <w:t xml:space="preserve"> or systems</w:t>
      </w:r>
      <w:r w:rsidR="00CB7EF0">
        <w:rPr>
          <w:rFonts w:ascii="Times New Roman" w:hAnsi="Times New Roman" w:cs="Times New Roman"/>
        </w:rPr>
        <w:t xml:space="preserve">. </w:t>
      </w:r>
      <w:r w:rsidR="00A36206">
        <w:rPr>
          <w:rFonts w:ascii="Times New Roman" w:hAnsi="Times New Roman" w:cs="Times New Roman"/>
        </w:rPr>
        <w:t xml:space="preserve">Furthermore, California has adopted an aspirational law that </w:t>
      </w:r>
      <w:r w:rsidR="00444041" w:rsidRPr="002F6A11">
        <w:rPr>
          <w:rFonts w:ascii="Times New Roman" w:hAnsi="Times New Roman" w:cs="Times New Roman"/>
        </w:rPr>
        <w:t>mandate</w:t>
      </w:r>
      <w:r w:rsidR="00A36206">
        <w:rPr>
          <w:rFonts w:ascii="Times New Roman" w:hAnsi="Times New Roman" w:cs="Times New Roman"/>
        </w:rPr>
        <w:t>s</w:t>
      </w:r>
      <w:r w:rsidR="0032127E">
        <w:rPr>
          <w:rFonts w:ascii="Times New Roman" w:hAnsi="Times New Roman" w:cs="Times New Roman"/>
        </w:rPr>
        <w:t xml:space="preserve"> </w:t>
      </w:r>
      <w:r w:rsidR="0032127E" w:rsidRPr="00A132C9">
        <w:rPr>
          <w:rFonts w:ascii="Times New Roman" w:hAnsi="Times New Roman" w:cs="Times New Roman"/>
          <w:b/>
          <w:bCs/>
        </w:rPr>
        <w:t>“</w:t>
      </w:r>
      <w:r w:rsidR="00595400" w:rsidRPr="00A132C9">
        <w:rPr>
          <w:rFonts w:ascii="Times New Roman" w:hAnsi="Times New Roman" w:cs="Times New Roman"/>
          <w:b/>
          <w:bCs/>
          <w:i/>
          <w:iCs/>
        </w:rPr>
        <w:t>The H</w:t>
      </w:r>
      <w:r w:rsidR="00444041" w:rsidRPr="00A132C9">
        <w:rPr>
          <w:rFonts w:ascii="Times New Roman" w:hAnsi="Times New Roman" w:cs="Times New Roman"/>
          <w:b/>
          <w:bCs/>
          <w:i/>
          <w:iCs/>
        </w:rPr>
        <w:t>uman Right to Water</w:t>
      </w:r>
      <w:r w:rsidR="0032127E" w:rsidRPr="00A132C9">
        <w:rPr>
          <w:rFonts w:ascii="Times New Roman" w:hAnsi="Times New Roman" w:cs="Times New Roman"/>
          <w:b/>
          <w:bCs/>
          <w:i/>
          <w:iCs/>
        </w:rPr>
        <w:t>”</w:t>
      </w:r>
      <w:r w:rsidR="00444041">
        <w:rPr>
          <w:rFonts w:ascii="Times New Roman" w:hAnsi="Times New Roman" w:cs="Times New Roman"/>
        </w:rPr>
        <w:t xml:space="preserve"> </w:t>
      </w:r>
      <w:r w:rsidR="00CF1121">
        <w:rPr>
          <w:rStyle w:val="FootnoteReference"/>
          <w:rFonts w:ascii="Times New Roman" w:hAnsi="Times New Roman" w:cs="Times New Roman"/>
        </w:rPr>
        <w:footnoteReference w:id="6"/>
      </w:r>
      <w:r w:rsidR="006A35D6">
        <w:rPr>
          <w:rFonts w:ascii="Times New Roman" w:hAnsi="Times New Roman" w:cs="Times New Roman"/>
        </w:rPr>
        <w:t xml:space="preserve"> </w:t>
      </w:r>
      <w:r w:rsidR="00444041" w:rsidRPr="002F6A11">
        <w:rPr>
          <w:rFonts w:ascii="Times New Roman" w:hAnsi="Times New Roman" w:cs="Times New Roman"/>
        </w:rPr>
        <w:t xml:space="preserve">for </w:t>
      </w:r>
      <w:r w:rsidR="00F80FEB">
        <w:rPr>
          <w:rFonts w:ascii="Times New Roman" w:hAnsi="Times New Roman" w:cs="Times New Roman"/>
        </w:rPr>
        <w:t xml:space="preserve">all </w:t>
      </w:r>
      <w:r w:rsidR="00444041" w:rsidRPr="002F6A11">
        <w:rPr>
          <w:rFonts w:ascii="Times New Roman" w:hAnsi="Times New Roman" w:cs="Times New Roman"/>
        </w:rPr>
        <w:t>California</w:t>
      </w:r>
      <w:r w:rsidR="00F80FEB">
        <w:rPr>
          <w:rFonts w:ascii="Times New Roman" w:hAnsi="Times New Roman" w:cs="Times New Roman"/>
        </w:rPr>
        <w:t>ns</w:t>
      </w:r>
      <w:r w:rsidR="00444041" w:rsidRPr="002F6A11">
        <w:rPr>
          <w:rFonts w:ascii="Times New Roman" w:hAnsi="Times New Roman" w:cs="Times New Roman"/>
        </w:rPr>
        <w:t>.</w:t>
      </w:r>
      <w:r w:rsidR="00667544">
        <w:rPr>
          <w:rFonts w:ascii="Times New Roman" w:hAnsi="Times New Roman" w:cs="Times New Roman"/>
        </w:rPr>
        <w:t xml:space="preserve"> </w:t>
      </w:r>
      <w:r w:rsidR="00367EB6">
        <w:rPr>
          <w:rFonts w:ascii="Times New Roman" w:hAnsi="Times New Roman" w:cs="Times New Roman"/>
        </w:rPr>
        <w:t>Th</w:t>
      </w:r>
      <w:r w:rsidR="006B1D7C">
        <w:rPr>
          <w:rFonts w:ascii="Times New Roman" w:hAnsi="Times New Roman" w:cs="Times New Roman"/>
        </w:rPr>
        <w:t>e</w:t>
      </w:r>
      <w:r w:rsidR="00D414A4">
        <w:rPr>
          <w:rFonts w:ascii="Times New Roman" w:hAnsi="Times New Roman" w:cs="Times New Roman"/>
        </w:rPr>
        <w:t xml:space="preserve"> availability of </w:t>
      </w:r>
      <w:r w:rsidR="00403FF3">
        <w:rPr>
          <w:rFonts w:ascii="Times New Roman" w:hAnsi="Times New Roman" w:cs="Times New Roman"/>
        </w:rPr>
        <w:t xml:space="preserve">clean </w:t>
      </w:r>
      <w:r w:rsidR="00D414A4">
        <w:rPr>
          <w:rFonts w:ascii="Times New Roman" w:hAnsi="Times New Roman" w:cs="Times New Roman"/>
        </w:rPr>
        <w:t xml:space="preserve">water for drinking </w:t>
      </w:r>
      <w:r w:rsidR="00367EB6">
        <w:rPr>
          <w:rFonts w:ascii="Times New Roman" w:hAnsi="Times New Roman" w:cs="Times New Roman"/>
        </w:rPr>
        <w:t xml:space="preserve">is further complicated with the volatility of more intense droughts and floods that have been occurring in the past two decades. </w:t>
      </w:r>
      <w:r w:rsidR="00667544">
        <w:rPr>
          <w:rFonts w:ascii="Times New Roman" w:hAnsi="Times New Roman" w:cs="Times New Roman"/>
        </w:rPr>
        <w:t>T</w:t>
      </w:r>
      <w:r w:rsidR="00187277">
        <w:rPr>
          <w:rFonts w:ascii="Times New Roman" w:hAnsi="Times New Roman" w:cs="Times New Roman"/>
        </w:rPr>
        <w:t xml:space="preserve">he </w:t>
      </w:r>
      <w:r w:rsidR="00DF0E32">
        <w:rPr>
          <w:rFonts w:ascii="Times New Roman" w:hAnsi="Times New Roman" w:cs="Times New Roman"/>
        </w:rPr>
        <w:t xml:space="preserve">problem begs for a serious </w:t>
      </w:r>
      <w:r w:rsidR="00C519D9">
        <w:rPr>
          <w:rFonts w:ascii="Times New Roman" w:hAnsi="Times New Roman" w:cs="Times New Roman"/>
        </w:rPr>
        <w:t>organization</w:t>
      </w:r>
      <w:r w:rsidR="00F60C4F">
        <w:rPr>
          <w:rFonts w:ascii="Times New Roman" w:hAnsi="Times New Roman" w:cs="Times New Roman"/>
        </w:rPr>
        <w:t>al</w:t>
      </w:r>
      <w:r w:rsidR="00C519D9">
        <w:rPr>
          <w:rFonts w:ascii="Times New Roman" w:hAnsi="Times New Roman" w:cs="Times New Roman"/>
        </w:rPr>
        <w:t xml:space="preserve"> </w:t>
      </w:r>
      <w:r w:rsidR="00DF0E32">
        <w:rPr>
          <w:rFonts w:ascii="Times New Roman" w:hAnsi="Times New Roman" w:cs="Times New Roman"/>
        </w:rPr>
        <w:t xml:space="preserve">effort </w:t>
      </w:r>
      <w:r w:rsidR="00F60C4F">
        <w:rPr>
          <w:rFonts w:ascii="Times New Roman" w:hAnsi="Times New Roman" w:cs="Times New Roman"/>
        </w:rPr>
        <w:t>that provides</w:t>
      </w:r>
      <w:r w:rsidR="005E4E35">
        <w:rPr>
          <w:rFonts w:ascii="Times New Roman" w:hAnsi="Times New Roman" w:cs="Times New Roman"/>
        </w:rPr>
        <w:t xml:space="preserve"> more sustainable</w:t>
      </w:r>
      <w:r w:rsidR="00057F47">
        <w:rPr>
          <w:rFonts w:ascii="Times New Roman" w:hAnsi="Times New Roman" w:cs="Times New Roman"/>
        </w:rPr>
        <w:t xml:space="preserve"> </w:t>
      </w:r>
      <w:r w:rsidR="00BE3A18">
        <w:rPr>
          <w:rFonts w:ascii="Times New Roman" w:hAnsi="Times New Roman" w:cs="Times New Roman"/>
        </w:rPr>
        <w:t>arrangement</w:t>
      </w:r>
      <w:r w:rsidR="00057F47">
        <w:rPr>
          <w:rFonts w:ascii="Times New Roman" w:hAnsi="Times New Roman" w:cs="Times New Roman"/>
        </w:rPr>
        <w:t>s</w:t>
      </w:r>
      <w:r w:rsidR="003E6D28">
        <w:rPr>
          <w:rFonts w:ascii="Times New Roman" w:hAnsi="Times New Roman" w:cs="Times New Roman"/>
        </w:rPr>
        <w:t xml:space="preserve"> t</w:t>
      </w:r>
      <w:r w:rsidR="00C8647C">
        <w:rPr>
          <w:rFonts w:ascii="Times New Roman" w:hAnsi="Times New Roman" w:cs="Times New Roman"/>
        </w:rPr>
        <w:t>o</w:t>
      </w:r>
      <w:r w:rsidR="005E60B5">
        <w:rPr>
          <w:rFonts w:ascii="Times New Roman" w:hAnsi="Times New Roman" w:cs="Times New Roman"/>
        </w:rPr>
        <w:t xml:space="preserve"> </w:t>
      </w:r>
      <w:r w:rsidR="00BE3A18">
        <w:rPr>
          <w:rFonts w:ascii="Times New Roman" w:hAnsi="Times New Roman" w:cs="Times New Roman"/>
        </w:rPr>
        <w:t>ad</w:t>
      </w:r>
      <w:r w:rsidR="00457972">
        <w:rPr>
          <w:rFonts w:ascii="Times New Roman" w:hAnsi="Times New Roman" w:cs="Times New Roman"/>
        </w:rPr>
        <w:t>dress the long-term</w:t>
      </w:r>
      <w:r w:rsidR="00BE3A18">
        <w:rPr>
          <w:rFonts w:ascii="Times New Roman" w:hAnsi="Times New Roman" w:cs="Times New Roman"/>
        </w:rPr>
        <w:t xml:space="preserve"> </w:t>
      </w:r>
      <w:r w:rsidR="00E65115">
        <w:rPr>
          <w:rFonts w:ascii="Times New Roman" w:hAnsi="Times New Roman" w:cs="Times New Roman"/>
        </w:rPr>
        <w:t>needs of these communities while maintaining the</w:t>
      </w:r>
      <w:r w:rsidR="00457972">
        <w:rPr>
          <w:rFonts w:ascii="Times New Roman" w:hAnsi="Times New Roman" w:cs="Times New Roman"/>
        </w:rPr>
        <w:t>ir</w:t>
      </w:r>
      <w:r w:rsidR="00A334F3">
        <w:rPr>
          <w:rFonts w:ascii="Times New Roman" w:hAnsi="Times New Roman" w:cs="Times New Roman"/>
        </w:rPr>
        <w:t xml:space="preserve"> </w:t>
      </w:r>
      <w:r w:rsidR="00C8647C">
        <w:rPr>
          <w:rFonts w:ascii="Times New Roman" w:hAnsi="Times New Roman" w:cs="Times New Roman"/>
        </w:rPr>
        <w:t xml:space="preserve">long-held </w:t>
      </w:r>
      <w:r w:rsidR="003A7A04">
        <w:rPr>
          <w:rFonts w:ascii="Times New Roman" w:hAnsi="Times New Roman" w:cs="Times New Roman"/>
        </w:rPr>
        <w:t xml:space="preserve">social </w:t>
      </w:r>
      <w:r w:rsidR="00C8647C">
        <w:rPr>
          <w:rFonts w:ascii="Times New Roman" w:hAnsi="Times New Roman" w:cs="Times New Roman"/>
        </w:rPr>
        <w:t xml:space="preserve">desire to remain </w:t>
      </w:r>
      <w:r w:rsidR="004F10F6">
        <w:rPr>
          <w:rFonts w:ascii="Times New Roman" w:hAnsi="Times New Roman" w:cs="Times New Roman"/>
        </w:rPr>
        <w:t>“</w:t>
      </w:r>
      <w:r w:rsidR="00C8647C">
        <w:rPr>
          <w:rFonts w:ascii="Times New Roman" w:hAnsi="Times New Roman" w:cs="Times New Roman"/>
        </w:rPr>
        <w:t>independent</w:t>
      </w:r>
      <w:r w:rsidR="004F10F6">
        <w:rPr>
          <w:rFonts w:ascii="Times New Roman" w:hAnsi="Times New Roman" w:cs="Times New Roman"/>
        </w:rPr>
        <w:t>”</w:t>
      </w:r>
      <w:r w:rsidR="003A7A04">
        <w:rPr>
          <w:rStyle w:val="FootnoteReference"/>
          <w:rFonts w:ascii="Times New Roman" w:hAnsi="Times New Roman" w:cs="Times New Roman"/>
        </w:rPr>
        <w:footnoteReference w:id="7"/>
      </w:r>
      <w:r w:rsidR="00FE5F45">
        <w:rPr>
          <w:rFonts w:ascii="Times New Roman" w:hAnsi="Times New Roman" w:cs="Times New Roman"/>
        </w:rPr>
        <w:t>.</w:t>
      </w:r>
      <w:r w:rsidR="00F80FEB">
        <w:rPr>
          <w:rFonts w:ascii="Times New Roman" w:hAnsi="Times New Roman" w:cs="Times New Roman"/>
        </w:rPr>
        <w:t xml:space="preserve"> </w:t>
      </w:r>
      <w:r w:rsidR="00DB781D">
        <w:rPr>
          <w:rFonts w:ascii="Times New Roman" w:hAnsi="Times New Roman" w:cs="Times New Roman"/>
        </w:rPr>
        <w:t xml:space="preserve">This </w:t>
      </w:r>
      <w:r w:rsidR="00E320E4">
        <w:rPr>
          <w:rFonts w:ascii="Times New Roman" w:hAnsi="Times New Roman" w:cs="Times New Roman"/>
        </w:rPr>
        <w:t xml:space="preserve">brief </w:t>
      </w:r>
      <w:r w:rsidR="00DB781D">
        <w:rPr>
          <w:rFonts w:ascii="Times New Roman" w:hAnsi="Times New Roman" w:cs="Times New Roman"/>
        </w:rPr>
        <w:t xml:space="preserve">report </w:t>
      </w:r>
      <w:r w:rsidR="004067B5">
        <w:rPr>
          <w:rFonts w:ascii="Times New Roman" w:hAnsi="Times New Roman" w:cs="Times New Roman"/>
        </w:rPr>
        <w:t>outlines institutional</w:t>
      </w:r>
      <w:r w:rsidR="00D371AE">
        <w:rPr>
          <w:rFonts w:ascii="Times New Roman" w:hAnsi="Times New Roman" w:cs="Times New Roman"/>
        </w:rPr>
        <w:t xml:space="preserve"> </w:t>
      </w:r>
      <w:r w:rsidR="00A41D14">
        <w:rPr>
          <w:rFonts w:ascii="Times New Roman" w:hAnsi="Times New Roman" w:cs="Times New Roman"/>
        </w:rPr>
        <w:t>opportunities</w:t>
      </w:r>
      <w:r w:rsidR="00D371AE">
        <w:rPr>
          <w:rFonts w:ascii="Times New Roman" w:hAnsi="Times New Roman" w:cs="Times New Roman"/>
        </w:rPr>
        <w:t xml:space="preserve"> for discussion and potential adoption</w:t>
      </w:r>
      <w:r w:rsidR="00035647">
        <w:rPr>
          <w:rFonts w:ascii="Times New Roman" w:hAnsi="Times New Roman" w:cs="Times New Roman"/>
        </w:rPr>
        <w:t xml:space="preserve"> that can</w:t>
      </w:r>
      <w:r w:rsidR="00D843C9">
        <w:rPr>
          <w:rFonts w:ascii="Times New Roman" w:hAnsi="Times New Roman" w:cs="Times New Roman"/>
        </w:rPr>
        <w:t xml:space="preserve"> offer the services and </w:t>
      </w:r>
      <w:r w:rsidR="00D51B5D">
        <w:rPr>
          <w:rFonts w:ascii="Times New Roman" w:hAnsi="Times New Roman" w:cs="Times New Roman"/>
        </w:rPr>
        <w:t xml:space="preserve">support </w:t>
      </w:r>
      <w:r w:rsidR="00732ECB">
        <w:rPr>
          <w:rFonts w:ascii="Times New Roman" w:hAnsi="Times New Roman" w:cs="Times New Roman"/>
        </w:rPr>
        <w:t>t</w:t>
      </w:r>
      <w:r w:rsidR="00D51B5D">
        <w:rPr>
          <w:rFonts w:ascii="Times New Roman" w:hAnsi="Times New Roman" w:cs="Times New Roman"/>
        </w:rPr>
        <w:t>hat has eluded so many of these communities</w:t>
      </w:r>
      <w:r w:rsidR="0033432E">
        <w:rPr>
          <w:rFonts w:ascii="Times New Roman" w:hAnsi="Times New Roman" w:cs="Times New Roman"/>
        </w:rPr>
        <w:t xml:space="preserve"> in their quest to attain sustainability.</w:t>
      </w:r>
      <w:r w:rsidR="00A514E4">
        <w:rPr>
          <w:rFonts w:ascii="Times New Roman" w:hAnsi="Times New Roman" w:cs="Times New Roman"/>
        </w:rPr>
        <w:t xml:space="preserve"> </w:t>
      </w:r>
      <w:r w:rsidR="0071091B">
        <w:rPr>
          <w:rFonts w:ascii="Times New Roman" w:hAnsi="Times New Roman" w:cs="Times New Roman"/>
        </w:rPr>
        <w:t xml:space="preserve">These communities are essential to the overall quality of life in California as they serve as a </w:t>
      </w:r>
      <w:r w:rsidR="00123AE2">
        <w:rPr>
          <w:rFonts w:ascii="Times New Roman" w:hAnsi="Times New Roman" w:cs="Times New Roman"/>
        </w:rPr>
        <w:t xml:space="preserve">well-spring of </w:t>
      </w:r>
      <w:r w:rsidR="00442AFC">
        <w:rPr>
          <w:rFonts w:ascii="Times New Roman" w:hAnsi="Times New Roman" w:cs="Times New Roman"/>
        </w:rPr>
        <w:t xml:space="preserve">human values </w:t>
      </w:r>
      <w:r w:rsidR="001C526E">
        <w:rPr>
          <w:rFonts w:ascii="Times New Roman" w:hAnsi="Times New Roman" w:cs="Times New Roman"/>
        </w:rPr>
        <w:t xml:space="preserve">and services </w:t>
      </w:r>
      <w:r w:rsidR="00442AFC">
        <w:rPr>
          <w:rFonts w:ascii="Times New Roman" w:hAnsi="Times New Roman" w:cs="Times New Roman"/>
        </w:rPr>
        <w:t xml:space="preserve">such as working hard and </w:t>
      </w:r>
      <w:r w:rsidR="00BC1A67">
        <w:rPr>
          <w:rFonts w:ascii="Times New Roman" w:hAnsi="Times New Roman" w:cs="Times New Roman"/>
        </w:rPr>
        <w:t>sust</w:t>
      </w:r>
      <w:r w:rsidR="00F133BE">
        <w:rPr>
          <w:rFonts w:ascii="Times New Roman" w:hAnsi="Times New Roman" w:cs="Times New Roman"/>
        </w:rPr>
        <w:t>aining</w:t>
      </w:r>
      <w:r w:rsidR="00442AFC">
        <w:rPr>
          <w:rFonts w:ascii="Times New Roman" w:hAnsi="Times New Roman" w:cs="Times New Roman"/>
        </w:rPr>
        <w:t xml:space="preserve"> the </w:t>
      </w:r>
      <w:r w:rsidR="00410F31">
        <w:rPr>
          <w:rFonts w:ascii="Times New Roman" w:hAnsi="Times New Roman" w:cs="Times New Roman"/>
        </w:rPr>
        <w:t xml:space="preserve">vast open areas of the </w:t>
      </w:r>
      <w:r w:rsidR="006565BE">
        <w:rPr>
          <w:rFonts w:ascii="Times New Roman" w:hAnsi="Times New Roman" w:cs="Times New Roman"/>
        </w:rPr>
        <w:t>California</w:t>
      </w:r>
      <w:r w:rsidR="00410F31">
        <w:rPr>
          <w:rFonts w:ascii="Times New Roman" w:hAnsi="Times New Roman" w:cs="Times New Roman"/>
        </w:rPr>
        <w:t xml:space="preserve"> landscape. Urban areas cover </w:t>
      </w:r>
      <w:r w:rsidR="00CF3DFE">
        <w:rPr>
          <w:rFonts w:ascii="Times New Roman" w:hAnsi="Times New Roman" w:cs="Times New Roman"/>
        </w:rPr>
        <w:t>5</w:t>
      </w:r>
      <w:r w:rsidR="00410F31">
        <w:rPr>
          <w:rFonts w:ascii="Times New Roman" w:hAnsi="Times New Roman" w:cs="Times New Roman"/>
        </w:rPr>
        <w:t>%</w:t>
      </w:r>
      <w:r w:rsidR="005771C2">
        <w:rPr>
          <w:rStyle w:val="FootnoteReference"/>
          <w:rFonts w:ascii="Times New Roman" w:hAnsi="Times New Roman" w:cs="Times New Roman"/>
        </w:rPr>
        <w:footnoteReference w:id="8"/>
      </w:r>
      <w:r w:rsidR="00410F31">
        <w:rPr>
          <w:rFonts w:ascii="Times New Roman" w:hAnsi="Times New Roman" w:cs="Times New Roman"/>
        </w:rPr>
        <w:t xml:space="preserve"> of the </w:t>
      </w:r>
      <w:r w:rsidR="00326ECC">
        <w:rPr>
          <w:rFonts w:ascii="Times New Roman" w:hAnsi="Times New Roman" w:cs="Times New Roman"/>
        </w:rPr>
        <w:t>landscape while the remain</w:t>
      </w:r>
      <w:r w:rsidR="00561158">
        <w:rPr>
          <w:rFonts w:ascii="Times New Roman" w:hAnsi="Times New Roman" w:cs="Times New Roman"/>
        </w:rPr>
        <w:t>ing 9</w:t>
      </w:r>
      <w:r w:rsidR="00CF3DFE">
        <w:rPr>
          <w:rFonts w:ascii="Times New Roman" w:hAnsi="Times New Roman" w:cs="Times New Roman"/>
        </w:rPr>
        <w:t>5</w:t>
      </w:r>
      <w:r w:rsidR="00561158">
        <w:rPr>
          <w:rFonts w:ascii="Times New Roman" w:hAnsi="Times New Roman" w:cs="Times New Roman"/>
        </w:rPr>
        <w:t xml:space="preserve">% is natural or dedicated to </w:t>
      </w:r>
      <w:r w:rsidR="00972F4C">
        <w:rPr>
          <w:rFonts w:ascii="Times New Roman" w:hAnsi="Times New Roman" w:cs="Times New Roman"/>
        </w:rPr>
        <w:t>agriculture</w:t>
      </w:r>
      <w:r w:rsidR="006A10C9">
        <w:rPr>
          <w:rStyle w:val="FootnoteReference"/>
          <w:rFonts w:ascii="Times New Roman" w:hAnsi="Times New Roman" w:cs="Times New Roman"/>
        </w:rPr>
        <w:footnoteReference w:id="9"/>
      </w:r>
      <w:r w:rsidR="006A10C9">
        <w:rPr>
          <w:rFonts w:ascii="Times New Roman" w:hAnsi="Times New Roman" w:cs="Times New Roman"/>
        </w:rPr>
        <w:t>.</w:t>
      </w:r>
      <w:r w:rsidR="006565BE">
        <w:rPr>
          <w:rFonts w:ascii="Times New Roman" w:hAnsi="Times New Roman" w:cs="Times New Roman"/>
        </w:rPr>
        <w:t xml:space="preserve"> Preparing </w:t>
      </w:r>
      <w:r w:rsidR="00B06E20">
        <w:rPr>
          <w:rFonts w:ascii="Times New Roman" w:hAnsi="Times New Roman" w:cs="Times New Roman"/>
        </w:rPr>
        <w:t xml:space="preserve">DACs, </w:t>
      </w:r>
      <w:r w:rsidR="006565BE">
        <w:rPr>
          <w:rFonts w:ascii="Times New Roman" w:hAnsi="Times New Roman" w:cs="Times New Roman"/>
        </w:rPr>
        <w:t xml:space="preserve">rural and small </w:t>
      </w:r>
      <w:r w:rsidR="00707F2A">
        <w:rPr>
          <w:rFonts w:ascii="Times New Roman" w:hAnsi="Times New Roman" w:cs="Times New Roman"/>
        </w:rPr>
        <w:t>community</w:t>
      </w:r>
      <w:r w:rsidR="006565BE">
        <w:rPr>
          <w:rFonts w:ascii="Times New Roman" w:hAnsi="Times New Roman" w:cs="Times New Roman"/>
        </w:rPr>
        <w:t xml:space="preserve"> </w:t>
      </w:r>
      <w:r w:rsidR="00146FA7">
        <w:rPr>
          <w:rFonts w:ascii="Times New Roman" w:hAnsi="Times New Roman" w:cs="Times New Roman"/>
        </w:rPr>
        <w:t xml:space="preserve">infrastructure </w:t>
      </w:r>
      <w:r w:rsidR="006565BE">
        <w:rPr>
          <w:rFonts w:ascii="Times New Roman" w:hAnsi="Times New Roman" w:cs="Times New Roman"/>
        </w:rPr>
        <w:t>for the future is not just an</w:t>
      </w:r>
      <w:r w:rsidR="001C7056">
        <w:rPr>
          <w:rFonts w:ascii="Times New Roman" w:hAnsi="Times New Roman" w:cs="Times New Roman"/>
        </w:rPr>
        <w:t xml:space="preserve"> </w:t>
      </w:r>
      <w:r w:rsidR="006565BE">
        <w:rPr>
          <w:rFonts w:ascii="Times New Roman" w:hAnsi="Times New Roman" w:cs="Times New Roman"/>
        </w:rPr>
        <w:t>option, it is necess</w:t>
      </w:r>
      <w:r w:rsidR="00217ED5">
        <w:rPr>
          <w:rFonts w:ascii="Times New Roman" w:hAnsi="Times New Roman" w:cs="Times New Roman"/>
        </w:rPr>
        <w:t>ary for</w:t>
      </w:r>
      <w:r w:rsidR="003B5197">
        <w:rPr>
          <w:rFonts w:ascii="Times New Roman" w:hAnsi="Times New Roman" w:cs="Times New Roman"/>
        </w:rPr>
        <w:t xml:space="preserve"> California’s </w:t>
      </w:r>
      <w:r w:rsidR="00367D75">
        <w:rPr>
          <w:rFonts w:ascii="Times New Roman" w:hAnsi="Times New Roman" w:cs="Times New Roman"/>
        </w:rPr>
        <w:t xml:space="preserve">landscape </w:t>
      </w:r>
      <w:r w:rsidR="006A10C9">
        <w:rPr>
          <w:rFonts w:ascii="Times New Roman" w:hAnsi="Times New Roman" w:cs="Times New Roman"/>
        </w:rPr>
        <w:t>well</w:t>
      </w:r>
      <w:r w:rsidR="00BA1271">
        <w:rPr>
          <w:rFonts w:ascii="Times New Roman" w:hAnsi="Times New Roman" w:cs="Times New Roman"/>
        </w:rPr>
        <w:t>-</w:t>
      </w:r>
      <w:r w:rsidR="006A10C9">
        <w:rPr>
          <w:rFonts w:ascii="Times New Roman" w:hAnsi="Times New Roman" w:cs="Times New Roman"/>
        </w:rPr>
        <w:t>being</w:t>
      </w:r>
      <w:r w:rsidR="006565BE">
        <w:rPr>
          <w:rFonts w:ascii="Times New Roman" w:hAnsi="Times New Roman" w:cs="Times New Roman"/>
        </w:rPr>
        <w:t>.</w:t>
      </w:r>
    </w:p>
    <w:p w14:paraId="04CAAEDB" w14:textId="0A67ADF3" w:rsidR="0029798B" w:rsidRPr="002F6A11" w:rsidRDefault="00633964" w:rsidP="00FC66C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goal of this report is to de</w:t>
      </w:r>
      <w:r w:rsidR="00157CCC">
        <w:rPr>
          <w:rFonts w:ascii="Times New Roman" w:hAnsi="Times New Roman" w:cs="Times New Roman"/>
        </w:rPr>
        <w:t>scribe</w:t>
      </w:r>
      <w:r w:rsidR="0029798B" w:rsidRPr="002F6A11">
        <w:rPr>
          <w:rFonts w:ascii="Times New Roman" w:hAnsi="Times New Roman" w:cs="Times New Roman"/>
        </w:rPr>
        <w:t xml:space="preserve"> </w:t>
      </w:r>
      <w:r w:rsidR="002A6E7D">
        <w:rPr>
          <w:rFonts w:ascii="Times New Roman" w:hAnsi="Times New Roman" w:cs="Times New Roman"/>
        </w:rPr>
        <w:t>an institutional solution</w:t>
      </w:r>
      <w:r w:rsidR="0029798B" w:rsidRPr="002F6A11">
        <w:rPr>
          <w:rFonts w:ascii="Times New Roman" w:hAnsi="Times New Roman" w:cs="Times New Roman"/>
        </w:rPr>
        <w:t xml:space="preserve"> for DAC </w:t>
      </w:r>
      <w:r w:rsidR="0029798B">
        <w:rPr>
          <w:rFonts w:ascii="Times New Roman" w:hAnsi="Times New Roman" w:cs="Times New Roman"/>
        </w:rPr>
        <w:t xml:space="preserve">and small systems </w:t>
      </w:r>
      <w:r w:rsidR="0029798B" w:rsidRPr="002F6A11">
        <w:rPr>
          <w:rFonts w:ascii="Times New Roman" w:hAnsi="Times New Roman" w:cs="Times New Roman"/>
        </w:rPr>
        <w:t xml:space="preserve">co-located in various regions in California </w:t>
      </w:r>
      <w:r w:rsidR="005514A9">
        <w:rPr>
          <w:rFonts w:ascii="Times New Roman" w:hAnsi="Times New Roman" w:cs="Times New Roman"/>
        </w:rPr>
        <w:t>by aggregating</w:t>
      </w:r>
      <w:r w:rsidR="0029798B" w:rsidRPr="002F6A11">
        <w:rPr>
          <w:rFonts w:ascii="Times New Roman" w:hAnsi="Times New Roman" w:cs="Times New Roman"/>
        </w:rPr>
        <w:t xml:space="preserve"> </w:t>
      </w:r>
      <w:r w:rsidR="00314F08">
        <w:rPr>
          <w:rFonts w:ascii="Times New Roman" w:hAnsi="Times New Roman" w:cs="Times New Roman"/>
        </w:rPr>
        <w:t xml:space="preserve">local or regional </w:t>
      </w:r>
      <w:r w:rsidR="0029798B" w:rsidRPr="002F6A11">
        <w:rPr>
          <w:rFonts w:ascii="Times New Roman" w:hAnsi="Times New Roman" w:cs="Times New Roman"/>
        </w:rPr>
        <w:t>population</w:t>
      </w:r>
      <w:r w:rsidR="004F30B1">
        <w:rPr>
          <w:rFonts w:ascii="Times New Roman" w:hAnsi="Times New Roman" w:cs="Times New Roman"/>
        </w:rPr>
        <w:t>s</w:t>
      </w:r>
      <w:r w:rsidR="00314F08">
        <w:rPr>
          <w:rFonts w:ascii="Times New Roman" w:hAnsi="Times New Roman" w:cs="Times New Roman"/>
        </w:rPr>
        <w:t xml:space="preserve"> or connections</w:t>
      </w:r>
      <w:r w:rsidR="0029798B" w:rsidRPr="002F6A11">
        <w:rPr>
          <w:rFonts w:ascii="Times New Roman" w:hAnsi="Times New Roman" w:cs="Times New Roman"/>
        </w:rPr>
        <w:t xml:space="preserve"> </w:t>
      </w:r>
      <w:r w:rsidR="00403C25">
        <w:rPr>
          <w:rFonts w:ascii="Times New Roman" w:hAnsi="Times New Roman" w:cs="Times New Roman"/>
        </w:rPr>
        <w:t xml:space="preserve">with </w:t>
      </w:r>
      <w:r w:rsidR="00D650F1">
        <w:rPr>
          <w:rFonts w:ascii="Times New Roman" w:hAnsi="Times New Roman" w:cs="Times New Roman"/>
        </w:rPr>
        <w:t>enough</w:t>
      </w:r>
      <w:r w:rsidR="00D055A7">
        <w:rPr>
          <w:rFonts w:ascii="Times New Roman" w:hAnsi="Times New Roman" w:cs="Times New Roman"/>
        </w:rPr>
        <w:t xml:space="preserve"> </w:t>
      </w:r>
      <w:r w:rsidR="009A68BD">
        <w:rPr>
          <w:rFonts w:ascii="Times New Roman" w:hAnsi="Times New Roman" w:cs="Times New Roman"/>
        </w:rPr>
        <w:t xml:space="preserve">participants to </w:t>
      </w:r>
      <w:r w:rsidR="00D650F1">
        <w:rPr>
          <w:rFonts w:ascii="Times New Roman" w:hAnsi="Times New Roman" w:cs="Times New Roman"/>
        </w:rPr>
        <w:t xml:space="preserve">permanently </w:t>
      </w:r>
      <w:r w:rsidR="0029798B" w:rsidRPr="002F6A11">
        <w:rPr>
          <w:rFonts w:ascii="Times New Roman" w:hAnsi="Times New Roman" w:cs="Times New Roman"/>
        </w:rPr>
        <w:t xml:space="preserve">support </w:t>
      </w:r>
      <w:r w:rsidR="000F1B8B">
        <w:rPr>
          <w:rFonts w:ascii="Times New Roman" w:hAnsi="Times New Roman" w:cs="Times New Roman"/>
        </w:rPr>
        <w:t xml:space="preserve">the </w:t>
      </w:r>
      <w:r w:rsidR="0029798B" w:rsidRPr="002F6A11">
        <w:rPr>
          <w:rFonts w:ascii="Times New Roman" w:hAnsi="Times New Roman" w:cs="Times New Roman"/>
        </w:rPr>
        <w:t>required administrative</w:t>
      </w:r>
      <w:r w:rsidR="005478DA">
        <w:rPr>
          <w:rFonts w:ascii="Times New Roman" w:hAnsi="Times New Roman" w:cs="Times New Roman"/>
        </w:rPr>
        <w:t>,</w:t>
      </w:r>
      <w:r w:rsidR="0029798B" w:rsidRPr="002F6A11">
        <w:rPr>
          <w:rFonts w:ascii="Times New Roman" w:hAnsi="Times New Roman" w:cs="Times New Roman"/>
        </w:rPr>
        <w:t xml:space="preserve"> operational</w:t>
      </w:r>
      <w:r w:rsidR="00750646">
        <w:rPr>
          <w:rFonts w:ascii="Times New Roman" w:hAnsi="Times New Roman" w:cs="Times New Roman"/>
        </w:rPr>
        <w:t xml:space="preserve"> and other </w:t>
      </w:r>
      <w:r w:rsidR="0029798B" w:rsidRPr="002F6A11">
        <w:rPr>
          <w:rFonts w:ascii="Times New Roman" w:hAnsi="Times New Roman" w:cs="Times New Roman"/>
        </w:rPr>
        <w:t>functions proficiently</w:t>
      </w:r>
      <w:r w:rsidR="00D650F1">
        <w:rPr>
          <w:rFonts w:ascii="Times New Roman" w:hAnsi="Times New Roman" w:cs="Times New Roman"/>
        </w:rPr>
        <w:t>.</w:t>
      </w:r>
      <w:r w:rsidR="005514A9">
        <w:rPr>
          <w:rFonts w:ascii="Times New Roman" w:hAnsi="Times New Roman" w:cs="Times New Roman"/>
        </w:rPr>
        <w:t xml:space="preserve"> The </w:t>
      </w:r>
      <w:r w:rsidR="009A68BD">
        <w:rPr>
          <w:rFonts w:ascii="Times New Roman" w:hAnsi="Times New Roman" w:cs="Times New Roman"/>
        </w:rPr>
        <w:t xml:space="preserve">proposed </w:t>
      </w:r>
      <w:r w:rsidR="00F5282C">
        <w:rPr>
          <w:rFonts w:ascii="Times New Roman" w:hAnsi="Times New Roman" w:cs="Times New Roman"/>
        </w:rPr>
        <w:t xml:space="preserve">structure </w:t>
      </w:r>
      <w:r w:rsidR="003F798D">
        <w:rPr>
          <w:rFonts w:ascii="Times New Roman" w:hAnsi="Times New Roman" w:cs="Times New Roman"/>
        </w:rPr>
        <w:t xml:space="preserve">offers an opportunity to </w:t>
      </w:r>
      <w:r w:rsidR="0029798B" w:rsidRPr="002F6A11">
        <w:rPr>
          <w:rFonts w:ascii="Times New Roman" w:hAnsi="Times New Roman" w:cs="Times New Roman"/>
        </w:rPr>
        <w:t xml:space="preserve">meet California water quality and public health requirements thereby assuring sustainability for each </w:t>
      </w:r>
      <w:r w:rsidR="00EB6A8B">
        <w:rPr>
          <w:rFonts w:ascii="Times New Roman" w:hAnsi="Times New Roman" w:cs="Times New Roman"/>
        </w:rPr>
        <w:t xml:space="preserve">of the </w:t>
      </w:r>
      <w:r w:rsidR="000800A5">
        <w:rPr>
          <w:rFonts w:ascii="Times New Roman" w:hAnsi="Times New Roman" w:cs="Times New Roman"/>
        </w:rPr>
        <w:t>aggregated</w:t>
      </w:r>
      <w:r w:rsidR="0029798B" w:rsidRPr="002F6A11">
        <w:rPr>
          <w:rFonts w:ascii="Times New Roman" w:hAnsi="Times New Roman" w:cs="Times New Roman"/>
        </w:rPr>
        <w:t xml:space="preserve"> drinking water utility system</w:t>
      </w:r>
      <w:r w:rsidR="00EB6A8B">
        <w:rPr>
          <w:rFonts w:ascii="Times New Roman" w:hAnsi="Times New Roman" w:cs="Times New Roman"/>
        </w:rPr>
        <w:t>s</w:t>
      </w:r>
      <w:r w:rsidR="009B5ECF">
        <w:rPr>
          <w:rFonts w:ascii="Times New Roman" w:hAnsi="Times New Roman" w:cs="Times New Roman"/>
        </w:rPr>
        <w:t xml:space="preserve"> and other allied services where feasible</w:t>
      </w:r>
      <w:r w:rsidR="0029798B" w:rsidRPr="002F6A11">
        <w:rPr>
          <w:rFonts w:ascii="Times New Roman" w:hAnsi="Times New Roman" w:cs="Times New Roman"/>
        </w:rPr>
        <w:t>.</w:t>
      </w:r>
    </w:p>
    <w:p w14:paraId="712E75C2" w14:textId="2CE1DDEB" w:rsidR="006A4964" w:rsidRDefault="006A4964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Problem</w:t>
      </w:r>
    </w:p>
    <w:p w14:paraId="75D8FBD0" w14:textId="77777777" w:rsidR="001B3650" w:rsidRDefault="001B3650" w:rsidP="006F17B2">
      <w:pPr>
        <w:spacing w:after="200"/>
        <w:ind w:left="360"/>
        <w:jc w:val="both"/>
        <w:rPr>
          <w:rFonts w:ascii="Times New Roman" w:hAnsi="Times New Roman" w:cs="Times New Roman"/>
        </w:rPr>
      </w:pPr>
    </w:p>
    <w:p w14:paraId="26EF6533" w14:textId="2ABE8CA5" w:rsidR="00DD4AE6" w:rsidRDefault="003B7D6F" w:rsidP="006F17B2">
      <w:pPr>
        <w:spacing w:after="200"/>
        <w:ind w:left="360"/>
        <w:jc w:val="both"/>
        <w:rPr>
          <w:rFonts w:ascii="Times New Roman" w:hAnsi="Times New Roman" w:cs="Times New Roman"/>
        </w:rPr>
      </w:pPr>
      <w:r w:rsidRPr="006F17B2">
        <w:rPr>
          <w:rFonts w:ascii="Times New Roman" w:hAnsi="Times New Roman" w:cs="Times New Roman"/>
        </w:rPr>
        <w:lastRenderedPageBreak/>
        <w:t xml:space="preserve">A major part of the problem is organizational. </w:t>
      </w:r>
      <w:r w:rsidR="00725A58">
        <w:rPr>
          <w:rFonts w:ascii="Times New Roman" w:hAnsi="Times New Roman" w:cs="Times New Roman"/>
        </w:rPr>
        <w:t>Current a</w:t>
      </w:r>
      <w:r w:rsidR="00E107B9">
        <w:rPr>
          <w:rFonts w:ascii="Times New Roman" w:hAnsi="Times New Roman" w:cs="Times New Roman"/>
        </w:rPr>
        <w:t>ctions</w:t>
      </w:r>
      <w:r w:rsidRPr="006F17B2">
        <w:rPr>
          <w:rFonts w:ascii="Times New Roman" w:hAnsi="Times New Roman" w:cs="Times New Roman"/>
        </w:rPr>
        <w:t xml:space="preserve"> used to organize the solutions are both too centralized and decentralized. </w:t>
      </w:r>
      <w:r w:rsidR="007F520E">
        <w:rPr>
          <w:rFonts w:ascii="Times New Roman" w:hAnsi="Times New Roman" w:cs="Times New Roman"/>
        </w:rPr>
        <w:t>A significant</w:t>
      </w:r>
      <w:r w:rsidRPr="006F17B2">
        <w:rPr>
          <w:rFonts w:ascii="Times New Roman" w:hAnsi="Times New Roman" w:cs="Times New Roman"/>
        </w:rPr>
        <w:t xml:space="preserve"> centralized issue is funding </w:t>
      </w:r>
      <w:r w:rsidR="0015000C" w:rsidRPr="006F17B2">
        <w:rPr>
          <w:rFonts w:ascii="Times New Roman" w:hAnsi="Times New Roman" w:cs="Times New Roman"/>
        </w:rPr>
        <w:t>sources</w:t>
      </w:r>
      <w:r w:rsidR="00725A58">
        <w:rPr>
          <w:rFonts w:ascii="Times New Roman" w:hAnsi="Times New Roman" w:cs="Times New Roman"/>
        </w:rPr>
        <w:t xml:space="preserve">. </w:t>
      </w:r>
      <w:r w:rsidR="00FC67E4">
        <w:rPr>
          <w:rFonts w:ascii="Times New Roman" w:hAnsi="Times New Roman" w:cs="Times New Roman"/>
        </w:rPr>
        <w:t>The</w:t>
      </w:r>
      <w:r w:rsidRPr="006F17B2">
        <w:rPr>
          <w:rFonts w:ascii="Times New Roman" w:hAnsi="Times New Roman" w:cs="Times New Roman"/>
        </w:rPr>
        <w:t xml:space="preserve"> </w:t>
      </w:r>
      <w:r w:rsidR="00FC67E4">
        <w:rPr>
          <w:rFonts w:ascii="Times New Roman" w:hAnsi="Times New Roman" w:cs="Times New Roman"/>
        </w:rPr>
        <w:t>funding</w:t>
      </w:r>
      <w:r w:rsidR="00CC0576">
        <w:rPr>
          <w:rFonts w:ascii="Times New Roman" w:hAnsi="Times New Roman" w:cs="Times New Roman"/>
        </w:rPr>
        <w:t xml:space="preserve"> </w:t>
      </w:r>
      <w:r w:rsidRPr="006F17B2">
        <w:rPr>
          <w:rFonts w:ascii="Times New Roman" w:hAnsi="Times New Roman" w:cs="Times New Roman"/>
        </w:rPr>
        <w:t>processes</w:t>
      </w:r>
      <w:r w:rsidR="00777F33">
        <w:rPr>
          <w:rFonts w:ascii="Times New Roman" w:hAnsi="Times New Roman" w:cs="Times New Roman"/>
        </w:rPr>
        <w:t xml:space="preserve"> </w:t>
      </w:r>
      <w:r w:rsidR="007178B2">
        <w:rPr>
          <w:rFonts w:ascii="Times New Roman" w:hAnsi="Times New Roman" w:cs="Times New Roman"/>
        </w:rPr>
        <w:t>other than what has been affordable</w:t>
      </w:r>
      <w:r w:rsidR="003146CF">
        <w:rPr>
          <w:rFonts w:ascii="Times New Roman" w:hAnsi="Times New Roman" w:cs="Times New Roman"/>
        </w:rPr>
        <w:t xml:space="preserve"> by the systems themselves</w:t>
      </w:r>
      <w:r w:rsidR="00F60E94">
        <w:rPr>
          <w:rFonts w:ascii="Times New Roman" w:hAnsi="Times New Roman" w:cs="Times New Roman"/>
        </w:rPr>
        <w:t xml:space="preserve"> </w:t>
      </w:r>
      <w:r w:rsidR="00CC0576">
        <w:rPr>
          <w:rFonts w:ascii="Times New Roman" w:hAnsi="Times New Roman" w:cs="Times New Roman"/>
        </w:rPr>
        <w:t xml:space="preserve">are </w:t>
      </w:r>
      <w:r w:rsidRPr="006F17B2">
        <w:rPr>
          <w:rFonts w:ascii="Times New Roman" w:hAnsi="Times New Roman" w:cs="Times New Roman"/>
        </w:rPr>
        <w:t>with California agencies that are primarily in Sacramento.</w:t>
      </w:r>
      <w:r w:rsidR="004019F9">
        <w:rPr>
          <w:rFonts w:ascii="Times New Roman" w:hAnsi="Times New Roman" w:cs="Times New Roman"/>
        </w:rPr>
        <w:t xml:space="preserve"> The</w:t>
      </w:r>
      <w:r w:rsidR="00C11530">
        <w:rPr>
          <w:rFonts w:ascii="Times New Roman" w:hAnsi="Times New Roman" w:cs="Times New Roman"/>
        </w:rPr>
        <w:t xml:space="preserve"> </w:t>
      </w:r>
      <w:r w:rsidR="004019F9">
        <w:rPr>
          <w:rFonts w:ascii="Times New Roman" w:hAnsi="Times New Roman" w:cs="Times New Roman"/>
        </w:rPr>
        <w:t>processes are</w:t>
      </w:r>
      <w:r w:rsidR="00BD7314">
        <w:rPr>
          <w:rFonts w:ascii="Times New Roman" w:hAnsi="Times New Roman" w:cs="Times New Roman"/>
        </w:rPr>
        <w:t xml:space="preserve"> generally</w:t>
      </w:r>
      <w:r w:rsidR="004019F9">
        <w:rPr>
          <w:rFonts w:ascii="Times New Roman" w:hAnsi="Times New Roman" w:cs="Times New Roman"/>
        </w:rPr>
        <w:t xml:space="preserve"> limited to triage</w:t>
      </w:r>
      <w:r w:rsidR="00667063">
        <w:rPr>
          <w:rFonts w:ascii="Times New Roman" w:hAnsi="Times New Roman" w:cs="Times New Roman"/>
        </w:rPr>
        <w:t xml:space="preserve"> (emergencies)</w:t>
      </w:r>
      <w:r w:rsidR="004019F9">
        <w:rPr>
          <w:rFonts w:ascii="Times New Roman" w:hAnsi="Times New Roman" w:cs="Times New Roman"/>
        </w:rPr>
        <w:t xml:space="preserve"> or </w:t>
      </w:r>
      <w:r w:rsidR="00EF1E34">
        <w:rPr>
          <w:rFonts w:ascii="Times New Roman" w:hAnsi="Times New Roman" w:cs="Times New Roman"/>
        </w:rPr>
        <w:t>capital expenses only</w:t>
      </w:r>
      <w:r w:rsidR="00AF7461">
        <w:rPr>
          <w:rFonts w:ascii="Times New Roman" w:hAnsi="Times New Roman" w:cs="Times New Roman"/>
        </w:rPr>
        <w:t>. O</w:t>
      </w:r>
      <w:r w:rsidR="007C056F">
        <w:rPr>
          <w:rFonts w:ascii="Times New Roman" w:hAnsi="Times New Roman" w:cs="Times New Roman"/>
        </w:rPr>
        <w:t>peration and maintenance</w:t>
      </w:r>
      <w:r w:rsidR="00EF1E34">
        <w:rPr>
          <w:rFonts w:ascii="Times New Roman" w:hAnsi="Times New Roman" w:cs="Times New Roman"/>
        </w:rPr>
        <w:t xml:space="preserve"> of </w:t>
      </w:r>
      <w:r w:rsidR="004103F0">
        <w:rPr>
          <w:rFonts w:ascii="Times New Roman" w:hAnsi="Times New Roman" w:cs="Times New Roman"/>
        </w:rPr>
        <w:t xml:space="preserve">the results of </w:t>
      </w:r>
      <w:r w:rsidR="00667063">
        <w:rPr>
          <w:rFonts w:ascii="Times New Roman" w:hAnsi="Times New Roman" w:cs="Times New Roman"/>
        </w:rPr>
        <w:t xml:space="preserve">the </w:t>
      </w:r>
      <w:r w:rsidR="00AE4F40">
        <w:rPr>
          <w:rFonts w:ascii="Times New Roman" w:hAnsi="Times New Roman" w:cs="Times New Roman"/>
        </w:rPr>
        <w:t xml:space="preserve">funded capital </w:t>
      </w:r>
      <w:r w:rsidR="00EF1E34">
        <w:rPr>
          <w:rFonts w:ascii="Times New Roman" w:hAnsi="Times New Roman" w:cs="Times New Roman"/>
        </w:rPr>
        <w:t>investments are still the responsibility of the recipients.</w:t>
      </w:r>
      <w:r w:rsidRPr="006F17B2">
        <w:rPr>
          <w:rFonts w:ascii="Times New Roman" w:hAnsi="Times New Roman" w:cs="Times New Roman"/>
        </w:rPr>
        <w:t xml:space="preserve"> The de-centralized issue is there are too many local systems who are not capable of long-term sustainability primarily because they do not serve a large enough population (the </w:t>
      </w:r>
      <w:r w:rsidR="00663C83">
        <w:rPr>
          <w:rFonts w:ascii="Times New Roman" w:hAnsi="Times New Roman" w:cs="Times New Roman"/>
        </w:rPr>
        <w:t>s</w:t>
      </w:r>
      <w:r w:rsidRPr="006F17B2">
        <w:rPr>
          <w:rFonts w:ascii="Times New Roman" w:hAnsi="Times New Roman" w:cs="Times New Roman"/>
          <w:b/>
          <w:bCs/>
          <w:i/>
          <w:iCs/>
        </w:rPr>
        <w:t>cale</w:t>
      </w:r>
      <w:r w:rsidRPr="006F17B2">
        <w:rPr>
          <w:rFonts w:ascii="Times New Roman" w:hAnsi="Times New Roman" w:cs="Times New Roman"/>
        </w:rPr>
        <w:t xml:space="preserve"> factor) to generate the revenue required to perform the operational and administrative functions necessary for </w:t>
      </w:r>
      <w:r w:rsidR="00533B3F">
        <w:rPr>
          <w:rFonts w:ascii="Times New Roman" w:hAnsi="Times New Roman" w:cs="Times New Roman"/>
        </w:rPr>
        <w:t>long-term success</w:t>
      </w:r>
      <w:r w:rsidRPr="006F17B2">
        <w:rPr>
          <w:rFonts w:ascii="Times New Roman" w:hAnsi="Times New Roman" w:cs="Times New Roman"/>
        </w:rPr>
        <w:t>.</w:t>
      </w:r>
      <w:r w:rsidR="00E7638F">
        <w:rPr>
          <w:rFonts w:ascii="Times New Roman" w:hAnsi="Times New Roman" w:cs="Times New Roman"/>
        </w:rPr>
        <w:t xml:space="preserve"> </w:t>
      </w:r>
      <w:r w:rsidR="00A17E54">
        <w:rPr>
          <w:rFonts w:ascii="Times New Roman" w:hAnsi="Times New Roman" w:cs="Times New Roman"/>
        </w:rPr>
        <w:t>These de-centralized s</w:t>
      </w:r>
      <w:r w:rsidR="00C7565B">
        <w:rPr>
          <w:rFonts w:ascii="Times New Roman" w:hAnsi="Times New Roman" w:cs="Times New Roman"/>
        </w:rPr>
        <w:t xml:space="preserve">mall entities </w:t>
      </w:r>
      <w:r w:rsidR="00611BD2">
        <w:rPr>
          <w:rFonts w:ascii="Times New Roman" w:hAnsi="Times New Roman" w:cs="Times New Roman"/>
        </w:rPr>
        <w:t xml:space="preserve">also have </w:t>
      </w:r>
      <w:r w:rsidR="00C7565B">
        <w:rPr>
          <w:rFonts w:ascii="Times New Roman" w:hAnsi="Times New Roman" w:cs="Times New Roman"/>
        </w:rPr>
        <w:t xml:space="preserve">significant </w:t>
      </w:r>
      <w:r w:rsidR="00611BD2">
        <w:rPr>
          <w:rFonts w:ascii="Times New Roman" w:hAnsi="Times New Roman" w:cs="Times New Roman"/>
        </w:rPr>
        <w:t xml:space="preserve">difficulty with </w:t>
      </w:r>
      <w:r w:rsidR="00F409A0">
        <w:rPr>
          <w:rFonts w:ascii="Times New Roman" w:hAnsi="Times New Roman" w:cs="Times New Roman"/>
        </w:rPr>
        <w:t xml:space="preserve">administering </w:t>
      </w:r>
      <w:r w:rsidR="00611BD2">
        <w:rPr>
          <w:rFonts w:ascii="Times New Roman" w:hAnsi="Times New Roman" w:cs="Times New Roman"/>
        </w:rPr>
        <w:t>the financial processes of the centralized system.</w:t>
      </w:r>
      <w:r w:rsidRPr="006F17B2">
        <w:rPr>
          <w:rFonts w:ascii="Times New Roman" w:hAnsi="Times New Roman" w:cs="Times New Roman"/>
        </w:rPr>
        <w:t xml:space="preserve"> </w:t>
      </w:r>
      <w:r w:rsidR="00AE54E8">
        <w:rPr>
          <w:rFonts w:ascii="Times New Roman" w:hAnsi="Times New Roman" w:cs="Times New Roman"/>
        </w:rPr>
        <w:t>For example, many</w:t>
      </w:r>
      <w:r w:rsidR="00F409A0">
        <w:rPr>
          <w:rFonts w:ascii="Times New Roman" w:hAnsi="Times New Roman" w:cs="Times New Roman"/>
        </w:rPr>
        <w:t xml:space="preserve"> do not have the fin</w:t>
      </w:r>
      <w:r w:rsidR="009F6449">
        <w:rPr>
          <w:rFonts w:ascii="Times New Roman" w:hAnsi="Times New Roman" w:cs="Times New Roman"/>
        </w:rPr>
        <w:t xml:space="preserve">ancial capacity to cover expenditures while awaiting the </w:t>
      </w:r>
      <w:r w:rsidR="00E74DB7">
        <w:rPr>
          <w:rFonts w:ascii="Times New Roman" w:hAnsi="Times New Roman" w:cs="Times New Roman"/>
        </w:rPr>
        <w:t>financial support awarded to them.</w:t>
      </w:r>
      <w:r w:rsidRPr="006F17B2">
        <w:rPr>
          <w:rFonts w:ascii="Times New Roman" w:hAnsi="Times New Roman" w:cs="Times New Roman"/>
        </w:rPr>
        <w:t xml:space="preserve"> </w:t>
      </w:r>
    </w:p>
    <w:p w14:paraId="438D4F69" w14:textId="1075C3E8" w:rsidR="005A39A0" w:rsidRDefault="00DD4AE6" w:rsidP="006F17B2">
      <w:pPr>
        <w:spacing w:after="20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question that remains is what institutional arrangements can be made to potentially address the issues above? </w:t>
      </w:r>
      <w:r w:rsidR="00045690">
        <w:rPr>
          <w:rFonts w:ascii="Times New Roman" w:hAnsi="Times New Roman" w:cs="Times New Roman"/>
        </w:rPr>
        <w:t xml:space="preserve">Two </w:t>
      </w:r>
      <w:r w:rsidR="00F83F71">
        <w:rPr>
          <w:rFonts w:ascii="Times New Roman" w:hAnsi="Times New Roman" w:cs="Times New Roman"/>
        </w:rPr>
        <w:t xml:space="preserve">most likely </w:t>
      </w:r>
      <w:r w:rsidR="00045690">
        <w:rPr>
          <w:rFonts w:ascii="Times New Roman" w:hAnsi="Times New Roman" w:cs="Times New Roman"/>
        </w:rPr>
        <w:t>alternative</w:t>
      </w:r>
      <w:r w:rsidR="00E45C86">
        <w:rPr>
          <w:rFonts w:ascii="Times New Roman" w:hAnsi="Times New Roman" w:cs="Times New Roman"/>
        </w:rPr>
        <w:t>s</w:t>
      </w:r>
      <w:r w:rsidR="003B7D6F" w:rsidRPr="006F17B2">
        <w:rPr>
          <w:rFonts w:ascii="Times New Roman" w:hAnsi="Times New Roman" w:cs="Times New Roman"/>
        </w:rPr>
        <w:t xml:space="preserve"> of how the </w:t>
      </w:r>
      <w:r w:rsidR="00A132C9">
        <w:rPr>
          <w:rFonts w:ascii="Times New Roman" w:hAnsi="Times New Roman" w:cs="Times New Roman"/>
          <w:b/>
          <w:bCs/>
          <w:i/>
          <w:iCs/>
        </w:rPr>
        <w:t>sc</w:t>
      </w:r>
      <w:r w:rsidR="003B7D6F" w:rsidRPr="006F17B2">
        <w:rPr>
          <w:rFonts w:ascii="Times New Roman" w:hAnsi="Times New Roman" w:cs="Times New Roman"/>
          <w:b/>
          <w:bCs/>
          <w:i/>
          <w:iCs/>
        </w:rPr>
        <w:t>ale</w:t>
      </w:r>
      <w:r w:rsidR="003B7D6F" w:rsidRPr="006F17B2">
        <w:rPr>
          <w:rFonts w:ascii="Times New Roman" w:hAnsi="Times New Roman" w:cs="Times New Roman"/>
        </w:rPr>
        <w:t xml:space="preserve"> issue can be addressed include the development of a </w:t>
      </w:r>
      <w:r w:rsidR="009F6D15">
        <w:rPr>
          <w:rFonts w:ascii="Times New Roman" w:hAnsi="Times New Roman" w:cs="Times New Roman"/>
        </w:rPr>
        <w:t>“</w:t>
      </w:r>
      <w:r w:rsidR="003B7D6F" w:rsidRPr="006F17B2">
        <w:rPr>
          <w:rFonts w:ascii="Times New Roman" w:hAnsi="Times New Roman" w:cs="Times New Roman"/>
        </w:rPr>
        <w:t>Joint Powers Authority</w:t>
      </w:r>
      <w:r w:rsidR="009F6D15">
        <w:rPr>
          <w:rFonts w:ascii="Times New Roman" w:hAnsi="Times New Roman" w:cs="Times New Roman"/>
        </w:rPr>
        <w:t>”</w:t>
      </w:r>
      <w:r w:rsidR="003B7D6F" w:rsidRPr="006F17B2">
        <w:rPr>
          <w:rFonts w:ascii="Times New Roman" w:hAnsi="Times New Roman" w:cs="Times New Roman"/>
        </w:rPr>
        <w:t xml:space="preserve"> (JPA)</w:t>
      </w:r>
      <w:r w:rsidR="002C3C20">
        <w:rPr>
          <w:rStyle w:val="FootnoteReference"/>
          <w:rFonts w:ascii="Times New Roman" w:hAnsi="Times New Roman" w:cs="Times New Roman"/>
        </w:rPr>
        <w:footnoteReference w:id="10"/>
      </w:r>
      <w:r w:rsidR="003B7D6F" w:rsidRPr="006F17B2">
        <w:rPr>
          <w:rFonts w:ascii="Times New Roman" w:hAnsi="Times New Roman" w:cs="Times New Roman"/>
        </w:rPr>
        <w:t xml:space="preserve"> or a</w:t>
      </w:r>
      <w:r w:rsidR="004C2B82">
        <w:rPr>
          <w:rFonts w:ascii="Times New Roman" w:hAnsi="Times New Roman" w:cs="Times New Roman"/>
        </w:rPr>
        <w:t xml:space="preserve"> comprehensive</w:t>
      </w:r>
      <w:r w:rsidR="003B7D6F" w:rsidRPr="006F17B2">
        <w:rPr>
          <w:rFonts w:ascii="Times New Roman" w:hAnsi="Times New Roman" w:cs="Times New Roman"/>
        </w:rPr>
        <w:t xml:space="preserve"> </w:t>
      </w:r>
      <w:r w:rsidR="00671468">
        <w:rPr>
          <w:rFonts w:ascii="Times New Roman" w:hAnsi="Times New Roman" w:cs="Times New Roman"/>
        </w:rPr>
        <w:t>“</w:t>
      </w:r>
      <w:r w:rsidR="00BC6DB4">
        <w:rPr>
          <w:rFonts w:ascii="Times New Roman" w:hAnsi="Times New Roman" w:cs="Times New Roman"/>
        </w:rPr>
        <w:t>S</w:t>
      </w:r>
      <w:r w:rsidR="003B7D6F" w:rsidRPr="006F17B2">
        <w:rPr>
          <w:rFonts w:ascii="Times New Roman" w:hAnsi="Times New Roman" w:cs="Times New Roman"/>
        </w:rPr>
        <w:t xml:space="preserve">pecial </w:t>
      </w:r>
      <w:r w:rsidR="00BC6DB4">
        <w:rPr>
          <w:rFonts w:ascii="Times New Roman" w:hAnsi="Times New Roman" w:cs="Times New Roman"/>
        </w:rPr>
        <w:t>D</w:t>
      </w:r>
      <w:r w:rsidR="003B7D6F" w:rsidRPr="006F17B2">
        <w:rPr>
          <w:rFonts w:ascii="Times New Roman" w:hAnsi="Times New Roman" w:cs="Times New Roman"/>
        </w:rPr>
        <w:t>istrict</w:t>
      </w:r>
      <w:r w:rsidR="00671468">
        <w:rPr>
          <w:rFonts w:ascii="Times New Roman" w:hAnsi="Times New Roman" w:cs="Times New Roman"/>
        </w:rPr>
        <w:t>”</w:t>
      </w:r>
      <w:r w:rsidR="009F6D15">
        <w:rPr>
          <w:rStyle w:val="FootnoteReference"/>
          <w:rFonts w:ascii="Times New Roman" w:hAnsi="Times New Roman" w:cs="Times New Roman"/>
        </w:rPr>
        <w:footnoteReference w:id="11"/>
      </w:r>
      <w:r w:rsidR="003D7266">
        <w:rPr>
          <w:rFonts w:ascii="Times New Roman" w:hAnsi="Times New Roman" w:cs="Times New Roman"/>
        </w:rPr>
        <w:t>.</w:t>
      </w:r>
      <w:r w:rsidR="004C2B82">
        <w:rPr>
          <w:rFonts w:ascii="Times New Roman" w:hAnsi="Times New Roman" w:cs="Times New Roman"/>
        </w:rPr>
        <w:t xml:space="preserve"> </w:t>
      </w:r>
      <w:r w:rsidR="003D7266">
        <w:rPr>
          <w:rFonts w:ascii="Times New Roman" w:hAnsi="Times New Roman" w:cs="Times New Roman"/>
        </w:rPr>
        <w:t xml:space="preserve"> There are existing examples of </w:t>
      </w:r>
      <w:r w:rsidR="00033844">
        <w:rPr>
          <w:rFonts w:ascii="Times New Roman" w:hAnsi="Times New Roman" w:cs="Times New Roman"/>
        </w:rPr>
        <w:t xml:space="preserve">such </w:t>
      </w:r>
      <w:r w:rsidR="00CD6BAD">
        <w:rPr>
          <w:rFonts w:ascii="Times New Roman" w:hAnsi="Times New Roman" w:cs="Times New Roman"/>
        </w:rPr>
        <w:t xml:space="preserve">area-wide </w:t>
      </w:r>
      <w:r w:rsidR="00033844">
        <w:rPr>
          <w:rFonts w:ascii="Times New Roman" w:hAnsi="Times New Roman" w:cs="Times New Roman"/>
        </w:rPr>
        <w:t xml:space="preserve">organizations that </w:t>
      </w:r>
      <w:r w:rsidR="00B4786F">
        <w:rPr>
          <w:rFonts w:ascii="Times New Roman" w:hAnsi="Times New Roman" w:cs="Times New Roman"/>
        </w:rPr>
        <w:t xml:space="preserve">successfully </w:t>
      </w:r>
      <w:r w:rsidR="00033844">
        <w:rPr>
          <w:rFonts w:ascii="Times New Roman" w:hAnsi="Times New Roman" w:cs="Times New Roman"/>
        </w:rPr>
        <w:t xml:space="preserve">provide aggregation of </w:t>
      </w:r>
      <w:r w:rsidR="00BC6DB4">
        <w:rPr>
          <w:rFonts w:ascii="Times New Roman" w:hAnsi="Times New Roman" w:cs="Times New Roman"/>
        </w:rPr>
        <w:t xml:space="preserve">water-related </w:t>
      </w:r>
      <w:r w:rsidR="00033844">
        <w:rPr>
          <w:rFonts w:ascii="Times New Roman" w:hAnsi="Times New Roman" w:cs="Times New Roman"/>
        </w:rPr>
        <w:t>services</w:t>
      </w:r>
      <w:r w:rsidR="00843CF3">
        <w:rPr>
          <w:rStyle w:val="FootnoteReference"/>
          <w:rFonts w:ascii="Times New Roman" w:hAnsi="Times New Roman" w:cs="Times New Roman"/>
        </w:rPr>
        <w:footnoteReference w:id="12"/>
      </w:r>
      <w:r w:rsidR="004C2B82">
        <w:rPr>
          <w:rFonts w:ascii="Times New Roman" w:hAnsi="Times New Roman" w:cs="Times New Roman"/>
        </w:rPr>
        <w:t xml:space="preserve"> including some general act </w:t>
      </w:r>
      <w:r w:rsidR="00BC6DB4">
        <w:rPr>
          <w:rFonts w:ascii="Times New Roman" w:hAnsi="Times New Roman" w:cs="Times New Roman"/>
        </w:rPr>
        <w:t>C</w:t>
      </w:r>
      <w:r w:rsidR="004C2B82">
        <w:rPr>
          <w:rFonts w:ascii="Times New Roman" w:hAnsi="Times New Roman" w:cs="Times New Roman"/>
        </w:rPr>
        <w:t xml:space="preserve">ounty </w:t>
      </w:r>
      <w:r w:rsidR="00BC6DB4">
        <w:rPr>
          <w:rFonts w:ascii="Times New Roman" w:hAnsi="Times New Roman" w:cs="Times New Roman"/>
        </w:rPr>
        <w:t>W</w:t>
      </w:r>
      <w:r w:rsidR="004C2B82">
        <w:rPr>
          <w:rFonts w:ascii="Times New Roman" w:hAnsi="Times New Roman" w:cs="Times New Roman"/>
        </w:rPr>
        <w:t xml:space="preserve">ater </w:t>
      </w:r>
      <w:r w:rsidR="00BC6DB4">
        <w:rPr>
          <w:rFonts w:ascii="Times New Roman" w:hAnsi="Times New Roman" w:cs="Times New Roman"/>
        </w:rPr>
        <w:t>D</w:t>
      </w:r>
      <w:r w:rsidR="004C2B82">
        <w:rPr>
          <w:rFonts w:ascii="Times New Roman" w:hAnsi="Times New Roman" w:cs="Times New Roman"/>
        </w:rPr>
        <w:t>istricts (Calaveras</w:t>
      </w:r>
      <w:r w:rsidR="00B252F5">
        <w:rPr>
          <w:rStyle w:val="FootnoteReference"/>
          <w:rFonts w:ascii="Times New Roman" w:hAnsi="Times New Roman" w:cs="Times New Roman"/>
        </w:rPr>
        <w:footnoteReference w:id="13"/>
      </w:r>
      <w:r w:rsidR="004F42B7">
        <w:rPr>
          <w:rFonts w:ascii="Times New Roman" w:hAnsi="Times New Roman" w:cs="Times New Roman"/>
        </w:rPr>
        <w:t xml:space="preserve"> </w:t>
      </w:r>
      <w:r w:rsidR="002A2220">
        <w:rPr>
          <w:rFonts w:ascii="Times New Roman" w:hAnsi="Times New Roman" w:cs="Times New Roman"/>
        </w:rPr>
        <w:t xml:space="preserve">) </w:t>
      </w:r>
      <w:r w:rsidR="004C2B82">
        <w:rPr>
          <w:rFonts w:ascii="Times New Roman" w:hAnsi="Times New Roman" w:cs="Times New Roman"/>
        </w:rPr>
        <w:t xml:space="preserve">that provide </w:t>
      </w:r>
      <w:r w:rsidR="002A2220">
        <w:rPr>
          <w:rFonts w:ascii="Times New Roman" w:hAnsi="Times New Roman" w:cs="Times New Roman"/>
        </w:rPr>
        <w:t xml:space="preserve">wide </w:t>
      </w:r>
      <w:r w:rsidR="00CD6BAD">
        <w:rPr>
          <w:rFonts w:ascii="Times New Roman" w:hAnsi="Times New Roman" w:cs="Times New Roman"/>
        </w:rPr>
        <w:t>cover</w:t>
      </w:r>
      <w:r w:rsidR="004C2B82">
        <w:rPr>
          <w:rFonts w:ascii="Times New Roman" w:hAnsi="Times New Roman" w:cs="Times New Roman"/>
        </w:rPr>
        <w:t xml:space="preserve">age </w:t>
      </w:r>
      <w:r w:rsidR="00BC6DB4">
        <w:rPr>
          <w:rFonts w:ascii="Times New Roman" w:hAnsi="Times New Roman" w:cs="Times New Roman"/>
        </w:rPr>
        <w:t xml:space="preserve">of </w:t>
      </w:r>
      <w:r w:rsidR="00CD6BAD">
        <w:rPr>
          <w:rFonts w:ascii="Times New Roman" w:hAnsi="Times New Roman" w:cs="Times New Roman"/>
        </w:rPr>
        <w:t xml:space="preserve">geographically separate </w:t>
      </w:r>
      <w:r w:rsidR="00BC6DB4">
        <w:rPr>
          <w:rFonts w:ascii="Times New Roman" w:hAnsi="Times New Roman" w:cs="Times New Roman"/>
        </w:rPr>
        <w:t xml:space="preserve">drinking water and wastewater systems </w:t>
      </w:r>
      <w:r w:rsidR="004C2B82">
        <w:rPr>
          <w:rFonts w:ascii="Times New Roman" w:hAnsi="Times New Roman" w:cs="Times New Roman"/>
        </w:rPr>
        <w:t xml:space="preserve">but there are still many other </w:t>
      </w:r>
      <w:r w:rsidR="00A11C7F">
        <w:rPr>
          <w:rFonts w:ascii="Times New Roman" w:hAnsi="Times New Roman" w:cs="Times New Roman"/>
        </w:rPr>
        <w:t xml:space="preserve">small </w:t>
      </w:r>
      <w:r w:rsidR="004C2B82">
        <w:rPr>
          <w:rFonts w:ascii="Times New Roman" w:hAnsi="Times New Roman" w:cs="Times New Roman"/>
        </w:rPr>
        <w:t xml:space="preserve">public water systems </w:t>
      </w:r>
      <w:r w:rsidR="000E5005">
        <w:rPr>
          <w:rFonts w:ascii="Times New Roman" w:hAnsi="Times New Roman" w:cs="Times New Roman"/>
        </w:rPr>
        <w:t>within</w:t>
      </w:r>
      <w:r w:rsidR="00A11C7F">
        <w:rPr>
          <w:rFonts w:ascii="Times New Roman" w:hAnsi="Times New Roman" w:cs="Times New Roman"/>
        </w:rPr>
        <w:t xml:space="preserve"> their boundaries </w:t>
      </w:r>
      <w:r w:rsidR="004C2B82">
        <w:rPr>
          <w:rFonts w:ascii="Times New Roman" w:hAnsi="Times New Roman" w:cs="Times New Roman"/>
        </w:rPr>
        <w:t>that are not under their umbrella</w:t>
      </w:r>
      <w:r w:rsidR="00033844">
        <w:rPr>
          <w:rFonts w:ascii="Times New Roman" w:hAnsi="Times New Roman" w:cs="Times New Roman"/>
        </w:rPr>
        <w:t>.</w:t>
      </w:r>
      <w:r w:rsidR="00B85659">
        <w:rPr>
          <w:rFonts w:ascii="Times New Roman" w:hAnsi="Times New Roman" w:cs="Times New Roman"/>
        </w:rPr>
        <w:t xml:space="preserve"> </w:t>
      </w:r>
      <w:r w:rsidR="005A39A0">
        <w:rPr>
          <w:rFonts w:ascii="Times New Roman" w:hAnsi="Times New Roman" w:cs="Times New Roman"/>
        </w:rPr>
        <w:t xml:space="preserve">There are also other efforts that accomplish the goal of sustainability that have been fostered by the State. Specifically, there are locations where “consolidation” has occurred when there is a local entity within </w:t>
      </w:r>
      <w:r w:rsidR="00990178">
        <w:rPr>
          <w:rFonts w:ascii="Times New Roman" w:hAnsi="Times New Roman" w:cs="Times New Roman"/>
        </w:rPr>
        <w:t xml:space="preserve">relative </w:t>
      </w:r>
      <w:r w:rsidR="00676438">
        <w:rPr>
          <w:rFonts w:ascii="Times New Roman" w:hAnsi="Times New Roman" w:cs="Times New Roman"/>
        </w:rPr>
        <w:t>proximity</w:t>
      </w:r>
      <w:r w:rsidR="005A39A0">
        <w:rPr>
          <w:rFonts w:ascii="Times New Roman" w:hAnsi="Times New Roman" w:cs="Times New Roman"/>
        </w:rPr>
        <w:t xml:space="preserve"> </w:t>
      </w:r>
      <w:r w:rsidR="005557A8">
        <w:rPr>
          <w:rFonts w:ascii="Times New Roman" w:hAnsi="Times New Roman" w:cs="Times New Roman"/>
        </w:rPr>
        <w:t>to</w:t>
      </w:r>
      <w:r w:rsidR="005A39A0">
        <w:rPr>
          <w:rFonts w:ascii="Times New Roman" w:hAnsi="Times New Roman" w:cs="Times New Roman"/>
        </w:rPr>
        <w:t xml:space="preserve"> </w:t>
      </w:r>
      <w:r w:rsidR="004C2B82">
        <w:rPr>
          <w:rFonts w:ascii="Times New Roman" w:hAnsi="Times New Roman" w:cs="Times New Roman"/>
        </w:rPr>
        <w:t>several</w:t>
      </w:r>
      <w:r w:rsidR="005A39A0">
        <w:rPr>
          <w:rFonts w:ascii="Times New Roman" w:hAnsi="Times New Roman" w:cs="Times New Roman"/>
        </w:rPr>
        <w:t xml:space="preserve"> struggling </w:t>
      </w:r>
      <w:r w:rsidR="00CD6BAD">
        <w:rPr>
          <w:rFonts w:ascii="Times New Roman" w:hAnsi="Times New Roman" w:cs="Times New Roman"/>
        </w:rPr>
        <w:t xml:space="preserve">small water supply </w:t>
      </w:r>
      <w:r w:rsidR="005A39A0">
        <w:rPr>
          <w:rFonts w:ascii="Times New Roman" w:hAnsi="Times New Roman" w:cs="Times New Roman"/>
        </w:rPr>
        <w:t xml:space="preserve">entities and with some financing from the relevant agencies can absorb those satellite entities because it is reasonable to do so. Examples of such efforts </w:t>
      </w:r>
      <w:r w:rsidR="00AC58DE">
        <w:rPr>
          <w:rFonts w:ascii="Times New Roman" w:hAnsi="Times New Roman" w:cs="Times New Roman"/>
        </w:rPr>
        <w:t>include the City of Fresno Consolidation</w:t>
      </w:r>
      <w:r w:rsidR="00AC58DE">
        <w:rPr>
          <w:rStyle w:val="FootnoteReference"/>
          <w:rFonts w:ascii="Times New Roman" w:hAnsi="Times New Roman" w:cs="Times New Roman"/>
        </w:rPr>
        <w:footnoteReference w:id="14"/>
      </w:r>
      <w:r w:rsidR="00AC58DE">
        <w:rPr>
          <w:rFonts w:ascii="Times New Roman" w:hAnsi="Times New Roman" w:cs="Times New Roman"/>
        </w:rPr>
        <w:t xml:space="preserve"> and the </w:t>
      </w:r>
      <w:r w:rsidR="000A0473">
        <w:rPr>
          <w:rFonts w:ascii="Times New Roman" w:hAnsi="Times New Roman" w:cs="Times New Roman"/>
        </w:rPr>
        <w:t>Sativa</w:t>
      </w:r>
      <w:r w:rsidR="00AC58DE">
        <w:rPr>
          <w:rFonts w:ascii="Times New Roman" w:hAnsi="Times New Roman" w:cs="Times New Roman"/>
        </w:rPr>
        <w:t xml:space="preserve"> Project</w:t>
      </w:r>
      <w:r w:rsidR="00AC58DE">
        <w:rPr>
          <w:rStyle w:val="FootnoteReference"/>
          <w:rFonts w:ascii="Times New Roman" w:hAnsi="Times New Roman" w:cs="Times New Roman"/>
        </w:rPr>
        <w:footnoteReference w:id="15"/>
      </w:r>
      <w:r w:rsidR="005A39A0">
        <w:rPr>
          <w:rFonts w:ascii="Times New Roman" w:hAnsi="Times New Roman" w:cs="Times New Roman"/>
        </w:rPr>
        <w:t xml:space="preserve">. The usual over-riding driver of satellite consolidation is the larger entity can absorb the entities with little or no impact on their own regular customers </w:t>
      </w:r>
      <w:r w:rsidR="00CD6BAD">
        <w:rPr>
          <w:rFonts w:ascii="Times New Roman" w:hAnsi="Times New Roman" w:cs="Times New Roman"/>
        </w:rPr>
        <w:t xml:space="preserve">while </w:t>
      </w:r>
      <w:r w:rsidR="005A39A0">
        <w:rPr>
          <w:rFonts w:ascii="Times New Roman" w:hAnsi="Times New Roman" w:cs="Times New Roman"/>
        </w:rPr>
        <w:t>the absorbed organization can often end up with less cost to their customers as well as long-term sustainability.</w:t>
      </w:r>
      <w:r w:rsidR="00887E43">
        <w:rPr>
          <w:rFonts w:ascii="Times New Roman" w:hAnsi="Times New Roman" w:cs="Times New Roman"/>
        </w:rPr>
        <w:t xml:space="preserve"> If there is a significant cost to the consolidating entity it is usually the capital cost and that can be negotiated with funding agencies.</w:t>
      </w:r>
    </w:p>
    <w:p w14:paraId="4EBEB9ED" w14:textId="37285972" w:rsidR="003B7D6F" w:rsidRPr="006F17B2" w:rsidRDefault="005E0077" w:rsidP="006F17B2">
      <w:pPr>
        <w:spacing w:after="20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</w:t>
      </w:r>
      <w:r w:rsidR="00B85659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the key issues that can be addressed by </w:t>
      </w:r>
      <w:r w:rsidR="00367384">
        <w:rPr>
          <w:rFonts w:ascii="Times New Roman" w:hAnsi="Times New Roman" w:cs="Times New Roman"/>
        </w:rPr>
        <w:t xml:space="preserve">an </w:t>
      </w:r>
      <w:r w:rsidR="005A39A0">
        <w:rPr>
          <w:rFonts w:ascii="Times New Roman" w:hAnsi="Times New Roman" w:cs="Times New Roman"/>
        </w:rPr>
        <w:t xml:space="preserve">aggregation </w:t>
      </w:r>
      <w:r>
        <w:rPr>
          <w:rFonts w:ascii="Times New Roman" w:hAnsi="Times New Roman" w:cs="Times New Roman"/>
        </w:rPr>
        <w:t>organization include the foll</w:t>
      </w:r>
      <w:r w:rsidR="008A3017">
        <w:rPr>
          <w:rFonts w:ascii="Times New Roman" w:hAnsi="Times New Roman" w:cs="Times New Roman"/>
        </w:rPr>
        <w:t>owing:</w:t>
      </w:r>
    </w:p>
    <w:p w14:paraId="182CB9ED" w14:textId="3F7F6F6D" w:rsidR="00174073" w:rsidRDefault="003B7D6F" w:rsidP="003B7D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6A11">
        <w:rPr>
          <w:rFonts w:ascii="Times New Roman" w:hAnsi="Times New Roman" w:cs="Times New Roman"/>
        </w:rPr>
        <w:t>The low income of the residents within</w:t>
      </w:r>
      <w:r w:rsidR="008A3017">
        <w:rPr>
          <w:rFonts w:ascii="Times New Roman" w:hAnsi="Times New Roman" w:cs="Times New Roman"/>
        </w:rPr>
        <w:t xml:space="preserve"> most rural an</w:t>
      </w:r>
      <w:r w:rsidR="00E3772B">
        <w:rPr>
          <w:rFonts w:ascii="Times New Roman" w:hAnsi="Times New Roman" w:cs="Times New Roman"/>
        </w:rPr>
        <w:t>d</w:t>
      </w:r>
      <w:r w:rsidR="008A3017">
        <w:rPr>
          <w:rFonts w:ascii="Times New Roman" w:hAnsi="Times New Roman" w:cs="Times New Roman"/>
        </w:rPr>
        <w:t xml:space="preserve"> small systems</w:t>
      </w:r>
      <w:r w:rsidRPr="002F6A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generally</w:t>
      </w:r>
      <w:r w:rsidRPr="002F6A11">
        <w:rPr>
          <w:rFonts w:ascii="Times New Roman" w:hAnsi="Times New Roman" w:cs="Times New Roman"/>
        </w:rPr>
        <w:t xml:space="preserve"> preclude</w:t>
      </w:r>
      <w:r>
        <w:rPr>
          <w:rFonts w:ascii="Times New Roman" w:hAnsi="Times New Roman" w:cs="Times New Roman"/>
        </w:rPr>
        <w:t>s</w:t>
      </w:r>
      <w:r w:rsidRPr="002F6A11">
        <w:rPr>
          <w:rFonts w:ascii="Times New Roman" w:hAnsi="Times New Roman" w:cs="Times New Roman"/>
        </w:rPr>
        <w:t xml:space="preserve"> them from fully paying for the services </w:t>
      </w:r>
      <w:r w:rsidR="00E3772B" w:rsidRPr="002F6A11">
        <w:rPr>
          <w:rFonts w:ascii="Times New Roman" w:hAnsi="Times New Roman" w:cs="Times New Roman"/>
        </w:rPr>
        <w:t>provided,</w:t>
      </w:r>
      <w:r w:rsidRPr="002F6A11">
        <w:rPr>
          <w:rFonts w:ascii="Times New Roman" w:hAnsi="Times New Roman" w:cs="Times New Roman"/>
        </w:rPr>
        <w:t xml:space="preserve"> </w:t>
      </w:r>
      <w:r w:rsidR="00B52607">
        <w:rPr>
          <w:rFonts w:ascii="Times New Roman" w:hAnsi="Times New Roman" w:cs="Times New Roman"/>
        </w:rPr>
        <w:t>which then calls for</w:t>
      </w:r>
      <w:r w:rsidRPr="002F6A11">
        <w:rPr>
          <w:rFonts w:ascii="Times New Roman" w:hAnsi="Times New Roman" w:cs="Times New Roman"/>
        </w:rPr>
        <w:t xml:space="preserve"> the development of supplemental </w:t>
      </w:r>
      <w:r w:rsidRPr="002F6A11">
        <w:rPr>
          <w:rFonts w:ascii="Times New Roman" w:hAnsi="Times New Roman" w:cs="Times New Roman"/>
        </w:rPr>
        <w:lastRenderedPageBreak/>
        <w:t>funding sources. To be as efficient as possible</w:t>
      </w:r>
      <w:r>
        <w:rPr>
          <w:rFonts w:ascii="Times New Roman" w:hAnsi="Times New Roman" w:cs="Times New Roman"/>
        </w:rPr>
        <w:t>,</w:t>
      </w:r>
      <w:r w:rsidRPr="002F6A11">
        <w:rPr>
          <w:rFonts w:ascii="Times New Roman" w:hAnsi="Times New Roman" w:cs="Times New Roman"/>
        </w:rPr>
        <w:t xml:space="preserve"> </w:t>
      </w:r>
      <w:r w:rsidR="00A22E09">
        <w:rPr>
          <w:rFonts w:ascii="Times New Roman" w:hAnsi="Times New Roman" w:cs="Times New Roman"/>
        </w:rPr>
        <w:t>aggregating</w:t>
      </w:r>
      <w:r w:rsidRPr="002F6A11">
        <w:rPr>
          <w:rFonts w:ascii="Times New Roman" w:hAnsi="Times New Roman" w:cs="Times New Roman"/>
        </w:rPr>
        <w:t xml:space="preserve"> stranded and inefficient services </w:t>
      </w:r>
      <w:r w:rsidR="00B135E1">
        <w:rPr>
          <w:rFonts w:ascii="Times New Roman" w:hAnsi="Times New Roman" w:cs="Times New Roman"/>
        </w:rPr>
        <w:t>would result in</w:t>
      </w:r>
      <w:r w:rsidRPr="002F6A11">
        <w:rPr>
          <w:rFonts w:ascii="Times New Roman" w:hAnsi="Times New Roman" w:cs="Times New Roman"/>
        </w:rPr>
        <w:t xml:space="preserve"> less per unit </w:t>
      </w:r>
      <w:r w:rsidR="009A0EAC">
        <w:rPr>
          <w:rFonts w:ascii="Times New Roman" w:hAnsi="Times New Roman" w:cs="Times New Roman"/>
        </w:rPr>
        <w:t>overall</w:t>
      </w:r>
      <w:r w:rsidRPr="002F6A11">
        <w:rPr>
          <w:rFonts w:ascii="Times New Roman" w:hAnsi="Times New Roman" w:cs="Times New Roman"/>
        </w:rPr>
        <w:t xml:space="preserve"> overhead. </w:t>
      </w:r>
    </w:p>
    <w:p w14:paraId="05EF8C59" w14:textId="2F3EFF7E" w:rsidR="003B7D6F" w:rsidRDefault="00673991" w:rsidP="003B7D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06BD7">
        <w:rPr>
          <w:rFonts w:ascii="Times New Roman" w:hAnsi="Times New Roman" w:cs="Times New Roman"/>
        </w:rPr>
        <w:t>organizational</w:t>
      </w:r>
      <w:r>
        <w:rPr>
          <w:rFonts w:ascii="Times New Roman" w:hAnsi="Times New Roman" w:cs="Times New Roman"/>
        </w:rPr>
        <w:t xml:space="preserve"> strategy can also assist with other necessary services that </w:t>
      </w:r>
      <w:r w:rsidR="00BC0364">
        <w:rPr>
          <w:rFonts w:ascii="Times New Roman" w:hAnsi="Times New Roman" w:cs="Times New Roman"/>
        </w:rPr>
        <w:t>are linked</w:t>
      </w:r>
      <w:r w:rsidR="00703344">
        <w:rPr>
          <w:rFonts w:ascii="Times New Roman" w:hAnsi="Times New Roman" w:cs="Times New Roman"/>
        </w:rPr>
        <w:t xml:space="preserve"> to</w:t>
      </w:r>
      <w:r w:rsidR="00BC0364">
        <w:rPr>
          <w:rFonts w:ascii="Times New Roman" w:hAnsi="Times New Roman" w:cs="Times New Roman"/>
        </w:rPr>
        <w:t xml:space="preserve"> or protective of </w:t>
      </w:r>
      <w:r w:rsidR="00785A8A">
        <w:rPr>
          <w:rFonts w:ascii="Times New Roman" w:hAnsi="Times New Roman" w:cs="Times New Roman"/>
        </w:rPr>
        <w:t>investments in sustainable drinking water systems</w:t>
      </w:r>
      <w:r w:rsidR="00703344">
        <w:rPr>
          <w:rFonts w:ascii="Times New Roman" w:hAnsi="Times New Roman" w:cs="Times New Roman"/>
        </w:rPr>
        <w:t xml:space="preserve"> and local water resource management</w:t>
      </w:r>
      <w:r w:rsidR="00785A8A">
        <w:rPr>
          <w:rFonts w:ascii="Times New Roman" w:hAnsi="Times New Roman" w:cs="Times New Roman"/>
        </w:rPr>
        <w:t>.</w:t>
      </w:r>
      <w:r w:rsidR="003B7D6F" w:rsidRPr="002F6A11">
        <w:rPr>
          <w:rFonts w:ascii="Times New Roman" w:hAnsi="Times New Roman" w:cs="Times New Roman"/>
        </w:rPr>
        <w:t xml:space="preserve"> </w:t>
      </w:r>
      <w:r w:rsidR="003B7D6F">
        <w:rPr>
          <w:rFonts w:ascii="Times New Roman" w:hAnsi="Times New Roman" w:cs="Times New Roman"/>
        </w:rPr>
        <w:t>Examples of t</w:t>
      </w:r>
      <w:r w:rsidR="003B7D6F" w:rsidRPr="002F6A11">
        <w:rPr>
          <w:rFonts w:ascii="Times New Roman" w:hAnsi="Times New Roman" w:cs="Times New Roman"/>
        </w:rPr>
        <w:t>hese additional services include providing wastewater treatment, broadband services (</w:t>
      </w:r>
      <w:r w:rsidR="00A11C7F">
        <w:rPr>
          <w:rFonts w:ascii="Times New Roman" w:hAnsi="Times New Roman" w:cs="Times New Roman"/>
        </w:rPr>
        <w:t>often</w:t>
      </w:r>
      <w:r w:rsidR="003B7D6F" w:rsidRPr="002F6A11">
        <w:rPr>
          <w:rFonts w:ascii="Times New Roman" w:hAnsi="Times New Roman" w:cs="Times New Roman"/>
        </w:rPr>
        <w:t xml:space="preserve"> needed by water and wastewater treatment for operational control and monitoring), </w:t>
      </w:r>
      <w:r w:rsidR="003B7D6F">
        <w:rPr>
          <w:rFonts w:ascii="Times New Roman" w:hAnsi="Times New Roman" w:cs="Times New Roman"/>
        </w:rPr>
        <w:t xml:space="preserve">stormwater management, recycled water management, flood protection </w:t>
      </w:r>
      <w:r w:rsidR="003B7D6F" w:rsidRPr="002F6A11">
        <w:rPr>
          <w:rFonts w:ascii="Times New Roman" w:hAnsi="Times New Roman" w:cs="Times New Roman"/>
        </w:rPr>
        <w:t>and</w:t>
      </w:r>
      <w:r w:rsidR="003B7D6F">
        <w:rPr>
          <w:rFonts w:ascii="Times New Roman" w:hAnsi="Times New Roman" w:cs="Times New Roman"/>
        </w:rPr>
        <w:t>, in rural areas when appropriate,</w:t>
      </w:r>
      <w:r w:rsidR="003B7D6F" w:rsidRPr="002F6A11">
        <w:rPr>
          <w:rFonts w:ascii="Times New Roman" w:hAnsi="Times New Roman" w:cs="Times New Roman"/>
        </w:rPr>
        <w:t xml:space="preserve"> domestic water well </w:t>
      </w:r>
      <w:r w:rsidR="006661AC">
        <w:rPr>
          <w:rFonts w:ascii="Times New Roman" w:hAnsi="Times New Roman" w:cs="Times New Roman"/>
        </w:rPr>
        <w:t xml:space="preserve">and septic tank management or </w:t>
      </w:r>
      <w:r w:rsidR="003B7D6F" w:rsidRPr="002F6A11">
        <w:rPr>
          <w:rFonts w:ascii="Times New Roman" w:hAnsi="Times New Roman" w:cs="Times New Roman"/>
        </w:rPr>
        <w:t>replacement</w:t>
      </w:r>
      <w:r w:rsidR="00577165">
        <w:rPr>
          <w:rFonts w:ascii="Times New Roman" w:hAnsi="Times New Roman" w:cs="Times New Roman"/>
        </w:rPr>
        <w:t xml:space="preserve"> (</w:t>
      </w:r>
      <w:r w:rsidR="005E2106">
        <w:rPr>
          <w:rFonts w:ascii="Times New Roman" w:hAnsi="Times New Roman" w:cs="Times New Roman"/>
        </w:rPr>
        <w:t xml:space="preserve">covered by </w:t>
      </w:r>
      <w:r w:rsidR="00FF5860">
        <w:rPr>
          <w:rFonts w:ascii="Times New Roman" w:hAnsi="Times New Roman" w:cs="Times New Roman"/>
        </w:rPr>
        <w:t>property owner</w:t>
      </w:r>
      <w:r w:rsidR="00B054D0">
        <w:rPr>
          <w:rFonts w:ascii="Times New Roman" w:hAnsi="Times New Roman" w:cs="Times New Roman"/>
        </w:rPr>
        <w:t>s</w:t>
      </w:r>
      <w:r w:rsidR="00953FAF">
        <w:rPr>
          <w:rFonts w:ascii="Times New Roman" w:hAnsi="Times New Roman" w:cs="Times New Roman"/>
        </w:rPr>
        <w:t>’</w:t>
      </w:r>
      <w:r w:rsidR="00B054D0">
        <w:rPr>
          <w:rFonts w:ascii="Times New Roman" w:hAnsi="Times New Roman" w:cs="Times New Roman"/>
        </w:rPr>
        <w:t xml:space="preserve"> </w:t>
      </w:r>
      <w:r w:rsidR="005E2106">
        <w:rPr>
          <w:rFonts w:ascii="Times New Roman" w:hAnsi="Times New Roman" w:cs="Times New Roman"/>
        </w:rPr>
        <w:t>small investment into “</w:t>
      </w:r>
      <w:r w:rsidR="00577165">
        <w:rPr>
          <w:rFonts w:ascii="Times New Roman" w:hAnsi="Times New Roman" w:cs="Times New Roman"/>
        </w:rPr>
        <w:t>sinking funds</w:t>
      </w:r>
      <w:r w:rsidR="00FF5860">
        <w:rPr>
          <w:rFonts w:ascii="Times New Roman" w:hAnsi="Times New Roman" w:cs="Times New Roman"/>
        </w:rPr>
        <w:t>”</w:t>
      </w:r>
      <w:r w:rsidR="00577165">
        <w:rPr>
          <w:rFonts w:ascii="Times New Roman" w:hAnsi="Times New Roman" w:cs="Times New Roman"/>
        </w:rPr>
        <w:t>)</w:t>
      </w:r>
      <w:r w:rsidR="003B7D6F" w:rsidRPr="002F6A11">
        <w:rPr>
          <w:rFonts w:ascii="Times New Roman" w:hAnsi="Times New Roman" w:cs="Times New Roman"/>
        </w:rPr>
        <w:t xml:space="preserve">. </w:t>
      </w:r>
    </w:p>
    <w:p w14:paraId="78130565" w14:textId="77777777" w:rsidR="009E6712" w:rsidRDefault="009E6712" w:rsidP="009E6712">
      <w:pPr>
        <w:pStyle w:val="ListParagraph"/>
        <w:jc w:val="both"/>
        <w:rPr>
          <w:rFonts w:ascii="Times New Roman" w:hAnsi="Times New Roman" w:cs="Times New Roman"/>
        </w:rPr>
      </w:pPr>
    </w:p>
    <w:p w14:paraId="10ADB147" w14:textId="3F16A505" w:rsidR="00635CEE" w:rsidRDefault="00635CEE" w:rsidP="00635CEE">
      <w:pPr>
        <w:jc w:val="both"/>
        <w:rPr>
          <w:rFonts w:ascii="Arial" w:hAnsi="Arial" w:cs="Arial"/>
          <w:sz w:val="24"/>
          <w:szCs w:val="24"/>
        </w:rPr>
      </w:pPr>
      <w:r w:rsidRPr="0057038D">
        <w:rPr>
          <w:rFonts w:ascii="Arial" w:hAnsi="Arial" w:cs="Arial"/>
          <w:sz w:val="24"/>
          <w:szCs w:val="24"/>
        </w:rPr>
        <w:t xml:space="preserve">The </w:t>
      </w:r>
      <w:r w:rsidR="0057038D">
        <w:rPr>
          <w:rFonts w:ascii="Arial" w:hAnsi="Arial" w:cs="Arial"/>
          <w:sz w:val="24"/>
          <w:szCs w:val="24"/>
        </w:rPr>
        <w:t>Solution Summary</w:t>
      </w:r>
    </w:p>
    <w:p w14:paraId="51E7DE3D" w14:textId="4A1B71E3" w:rsidR="003B7D6F" w:rsidRPr="00F775A8" w:rsidRDefault="003B7D6F" w:rsidP="001876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75A8">
        <w:rPr>
          <w:rFonts w:ascii="Times New Roman" w:hAnsi="Times New Roman" w:cs="Times New Roman"/>
        </w:rPr>
        <w:t xml:space="preserve">Operation </w:t>
      </w:r>
      <w:r w:rsidR="00062D86">
        <w:rPr>
          <w:rFonts w:ascii="Times New Roman" w:hAnsi="Times New Roman" w:cs="Times New Roman"/>
        </w:rPr>
        <w:t>by a larger organization such as a</w:t>
      </w:r>
      <w:r w:rsidRPr="00F775A8">
        <w:rPr>
          <w:rFonts w:ascii="Times New Roman" w:hAnsi="Times New Roman" w:cs="Times New Roman"/>
        </w:rPr>
        <w:t xml:space="preserve"> </w:t>
      </w:r>
      <w:r w:rsidR="00A11C7F">
        <w:rPr>
          <w:rFonts w:ascii="Times New Roman" w:hAnsi="Times New Roman" w:cs="Times New Roman"/>
        </w:rPr>
        <w:t>“</w:t>
      </w:r>
      <w:r w:rsidR="00BC6DB4">
        <w:rPr>
          <w:rFonts w:ascii="Times New Roman" w:hAnsi="Times New Roman" w:cs="Times New Roman"/>
        </w:rPr>
        <w:t>J</w:t>
      </w:r>
      <w:r w:rsidR="00062D86">
        <w:rPr>
          <w:rFonts w:ascii="Times New Roman" w:hAnsi="Times New Roman" w:cs="Times New Roman"/>
        </w:rPr>
        <w:t xml:space="preserve">oint </w:t>
      </w:r>
      <w:r w:rsidR="00BC6DB4">
        <w:rPr>
          <w:rFonts w:ascii="Times New Roman" w:hAnsi="Times New Roman" w:cs="Times New Roman"/>
        </w:rPr>
        <w:t>P</w:t>
      </w:r>
      <w:r w:rsidR="00062D86">
        <w:rPr>
          <w:rFonts w:ascii="Times New Roman" w:hAnsi="Times New Roman" w:cs="Times New Roman"/>
        </w:rPr>
        <w:t>owers</w:t>
      </w:r>
      <w:r w:rsidR="00A11C7F">
        <w:rPr>
          <w:rFonts w:ascii="Times New Roman" w:hAnsi="Times New Roman" w:cs="Times New Roman"/>
        </w:rPr>
        <w:t xml:space="preserve"> </w:t>
      </w:r>
      <w:r w:rsidR="00BC6DB4">
        <w:rPr>
          <w:rFonts w:ascii="Times New Roman" w:hAnsi="Times New Roman" w:cs="Times New Roman"/>
        </w:rPr>
        <w:t>A</w:t>
      </w:r>
      <w:r w:rsidR="00062D86">
        <w:rPr>
          <w:rFonts w:ascii="Times New Roman" w:hAnsi="Times New Roman" w:cs="Times New Roman"/>
        </w:rPr>
        <w:t>gency</w:t>
      </w:r>
      <w:r w:rsidR="00A11C7F">
        <w:rPr>
          <w:rFonts w:ascii="Times New Roman" w:hAnsi="Times New Roman" w:cs="Times New Roman"/>
        </w:rPr>
        <w:t>”</w:t>
      </w:r>
      <w:r w:rsidR="00062D86">
        <w:rPr>
          <w:rFonts w:ascii="Times New Roman" w:hAnsi="Times New Roman" w:cs="Times New Roman"/>
        </w:rPr>
        <w:t xml:space="preserve"> or </w:t>
      </w:r>
      <w:r w:rsidR="00A11C7F">
        <w:rPr>
          <w:rFonts w:ascii="Times New Roman" w:hAnsi="Times New Roman" w:cs="Times New Roman"/>
        </w:rPr>
        <w:t>“</w:t>
      </w:r>
      <w:r w:rsidR="00D62053">
        <w:rPr>
          <w:rFonts w:ascii="Times New Roman" w:hAnsi="Times New Roman" w:cs="Times New Roman"/>
        </w:rPr>
        <w:t>s</w:t>
      </w:r>
      <w:r w:rsidR="00062D86">
        <w:rPr>
          <w:rFonts w:ascii="Times New Roman" w:hAnsi="Times New Roman" w:cs="Times New Roman"/>
        </w:rPr>
        <w:t>pecial</w:t>
      </w:r>
      <w:r w:rsidRPr="00F775A8">
        <w:rPr>
          <w:rFonts w:ascii="Times New Roman" w:hAnsi="Times New Roman" w:cs="Times New Roman"/>
        </w:rPr>
        <w:t xml:space="preserve"> </w:t>
      </w:r>
      <w:r w:rsidR="00D62053">
        <w:rPr>
          <w:rFonts w:ascii="Times New Roman" w:hAnsi="Times New Roman" w:cs="Times New Roman"/>
        </w:rPr>
        <w:t>d</w:t>
      </w:r>
      <w:r w:rsidRPr="00F775A8">
        <w:rPr>
          <w:rFonts w:ascii="Times New Roman" w:hAnsi="Times New Roman" w:cs="Times New Roman"/>
        </w:rPr>
        <w:t>istrict</w:t>
      </w:r>
      <w:r w:rsidR="00A11C7F">
        <w:rPr>
          <w:rFonts w:ascii="Times New Roman" w:hAnsi="Times New Roman" w:cs="Times New Roman"/>
        </w:rPr>
        <w:t>”</w:t>
      </w:r>
      <w:r w:rsidRPr="00F775A8">
        <w:rPr>
          <w:rFonts w:ascii="Times New Roman" w:hAnsi="Times New Roman" w:cs="Times New Roman"/>
        </w:rPr>
        <w:t xml:space="preserve"> </w:t>
      </w:r>
      <w:r w:rsidR="00594B29" w:rsidRPr="00F775A8">
        <w:rPr>
          <w:rFonts w:ascii="Times New Roman" w:hAnsi="Times New Roman" w:cs="Times New Roman"/>
        </w:rPr>
        <w:t>offers the ability</w:t>
      </w:r>
      <w:r w:rsidR="00A85372" w:rsidRPr="00F775A8">
        <w:rPr>
          <w:rFonts w:ascii="Times New Roman" w:hAnsi="Times New Roman" w:cs="Times New Roman"/>
        </w:rPr>
        <w:t xml:space="preserve"> to reach a high level of competency</w:t>
      </w:r>
      <w:r w:rsidRPr="00F775A8">
        <w:rPr>
          <w:rFonts w:ascii="Times New Roman" w:hAnsi="Times New Roman" w:cs="Times New Roman"/>
        </w:rPr>
        <w:t xml:space="preserve"> capable of establishing trust with the served population </w:t>
      </w:r>
      <w:r w:rsidR="009E6712">
        <w:rPr>
          <w:rFonts w:ascii="Times New Roman" w:hAnsi="Times New Roman" w:cs="Times New Roman"/>
        </w:rPr>
        <w:t>by</w:t>
      </w:r>
      <w:r w:rsidRPr="00F775A8">
        <w:rPr>
          <w:rFonts w:ascii="Times New Roman" w:hAnsi="Times New Roman" w:cs="Times New Roman"/>
        </w:rPr>
        <w:t xml:space="preserve"> providing the needed services</w:t>
      </w:r>
      <w:r w:rsidR="00D62053">
        <w:rPr>
          <w:rFonts w:ascii="Times New Roman" w:hAnsi="Times New Roman" w:cs="Times New Roman"/>
        </w:rPr>
        <w:t>,</w:t>
      </w:r>
      <w:r w:rsidRPr="00F775A8">
        <w:rPr>
          <w:rFonts w:ascii="Times New Roman" w:hAnsi="Times New Roman" w:cs="Times New Roman"/>
        </w:rPr>
        <w:t xml:space="preserve"> </w:t>
      </w:r>
      <w:r w:rsidR="00857735">
        <w:rPr>
          <w:rFonts w:ascii="Times New Roman" w:hAnsi="Times New Roman" w:cs="Times New Roman"/>
        </w:rPr>
        <w:t xml:space="preserve">especially by </w:t>
      </w:r>
      <w:r w:rsidR="00C756DD" w:rsidRPr="00F775A8">
        <w:rPr>
          <w:rFonts w:ascii="Times New Roman" w:hAnsi="Times New Roman" w:cs="Times New Roman"/>
        </w:rPr>
        <w:t>hiring</w:t>
      </w:r>
      <w:r w:rsidR="00775E60">
        <w:rPr>
          <w:rFonts w:ascii="Times New Roman" w:hAnsi="Times New Roman" w:cs="Times New Roman"/>
        </w:rPr>
        <w:t xml:space="preserve"> local</w:t>
      </w:r>
      <w:r w:rsidR="00D825A9">
        <w:rPr>
          <w:rFonts w:ascii="Times New Roman" w:hAnsi="Times New Roman" w:cs="Times New Roman"/>
        </w:rPr>
        <w:t xml:space="preserve"> qualified candidates</w:t>
      </w:r>
      <w:r w:rsidR="00C756DD" w:rsidRPr="00F775A8">
        <w:rPr>
          <w:rFonts w:ascii="Times New Roman" w:hAnsi="Times New Roman" w:cs="Times New Roman"/>
        </w:rPr>
        <w:t xml:space="preserve"> and </w:t>
      </w:r>
      <w:r w:rsidRPr="00F775A8">
        <w:rPr>
          <w:rFonts w:ascii="Times New Roman" w:hAnsi="Times New Roman" w:cs="Times New Roman"/>
        </w:rPr>
        <w:t xml:space="preserve">providing appropriate education and training of executive staff, operational staff, and </w:t>
      </w:r>
      <w:r w:rsidR="00C756DD" w:rsidRPr="00F775A8">
        <w:rPr>
          <w:rFonts w:ascii="Times New Roman" w:hAnsi="Times New Roman" w:cs="Times New Roman"/>
        </w:rPr>
        <w:t xml:space="preserve">to the extent </w:t>
      </w:r>
      <w:r w:rsidR="009B47E0">
        <w:rPr>
          <w:rFonts w:ascii="Times New Roman" w:hAnsi="Times New Roman" w:cs="Times New Roman"/>
        </w:rPr>
        <w:t>needed</w:t>
      </w:r>
      <w:r w:rsidR="00C756DD" w:rsidRPr="00F775A8">
        <w:rPr>
          <w:rFonts w:ascii="Times New Roman" w:hAnsi="Times New Roman" w:cs="Times New Roman"/>
        </w:rPr>
        <w:t xml:space="preserve">, </w:t>
      </w:r>
      <w:r w:rsidR="00144679">
        <w:rPr>
          <w:rFonts w:ascii="Times New Roman" w:hAnsi="Times New Roman" w:cs="Times New Roman"/>
        </w:rPr>
        <w:t xml:space="preserve">keeping </w:t>
      </w:r>
      <w:r w:rsidR="00C756DD" w:rsidRPr="00F775A8">
        <w:rPr>
          <w:rFonts w:ascii="Times New Roman" w:hAnsi="Times New Roman" w:cs="Times New Roman"/>
        </w:rPr>
        <w:t xml:space="preserve">the </w:t>
      </w:r>
      <w:r w:rsidRPr="00F775A8">
        <w:rPr>
          <w:rFonts w:ascii="Times New Roman" w:hAnsi="Times New Roman" w:cs="Times New Roman"/>
        </w:rPr>
        <w:t>resident</w:t>
      </w:r>
      <w:r w:rsidR="00400CEB" w:rsidRPr="00F775A8">
        <w:rPr>
          <w:rFonts w:ascii="Times New Roman" w:hAnsi="Times New Roman" w:cs="Times New Roman"/>
        </w:rPr>
        <w:t xml:space="preserve"> population</w:t>
      </w:r>
      <w:r w:rsidR="00144679">
        <w:rPr>
          <w:rFonts w:ascii="Times New Roman" w:hAnsi="Times New Roman" w:cs="Times New Roman"/>
        </w:rPr>
        <w:t xml:space="preserve"> informed</w:t>
      </w:r>
      <w:r w:rsidR="001827BF" w:rsidRPr="00F775A8">
        <w:rPr>
          <w:rFonts w:ascii="Times New Roman" w:hAnsi="Times New Roman" w:cs="Times New Roman"/>
        </w:rPr>
        <w:t xml:space="preserve">. Currently, the </w:t>
      </w:r>
      <w:r w:rsidR="00652A97">
        <w:rPr>
          <w:rFonts w:ascii="Times New Roman" w:hAnsi="Times New Roman" w:cs="Times New Roman"/>
        </w:rPr>
        <w:t xml:space="preserve">existing </w:t>
      </w:r>
      <w:r w:rsidR="001827BF" w:rsidRPr="00F775A8">
        <w:rPr>
          <w:rFonts w:ascii="Times New Roman" w:hAnsi="Times New Roman" w:cs="Times New Roman"/>
        </w:rPr>
        <w:t xml:space="preserve">systems lack not only trained staff but often </w:t>
      </w:r>
      <w:r w:rsidR="004E3AFF" w:rsidRPr="00F775A8">
        <w:rPr>
          <w:rFonts w:ascii="Times New Roman" w:hAnsi="Times New Roman" w:cs="Times New Roman"/>
        </w:rPr>
        <w:t>the elected</w:t>
      </w:r>
      <w:r w:rsidR="00C440B8">
        <w:rPr>
          <w:rFonts w:ascii="Times New Roman" w:hAnsi="Times New Roman" w:cs="Times New Roman"/>
        </w:rPr>
        <w:t>,</w:t>
      </w:r>
      <w:r w:rsidR="004E3AFF" w:rsidRPr="00F775A8">
        <w:rPr>
          <w:rFonts w:ascii="Times New Roman" w:hAnsi="Times New Roman" w:cs="Times New Roman"/>
        </w:rPr>
        <w:t xml:space="preserve"> appointed </w:t>
      </w:r>
      <w:r w:rsidR="00C440B8">
        <w:rPr>
          <w:rFonts w:ascii="Times New Roman" w:hAnsi="Times New Roman" w:cs="Times New Roman"/>
        </w:rPr>
        <w:t xml:space="preserve">or private </w:t>
      </w:r>
      <w:r w:rsidR="004E3AFF" w:rsidRPr="00F775A8">
        <w:rPr>
          <w:rFonts w:ascii="Times New Roman" w:hAnsi="Times New Roman" w:cs="Times New Roman"/>
        </w:rPr>
        <w:t>oversight bod</w:t>
      </w:r>
      <w:r w:rsidR="006748FE">
        <w:rPr>
          <w:rFonts w:ascii="Times New Roman" w:hAnsi="Times New Roman" w:cs="Times New Roman"/>
        </w:rPr>
        <w:t>i</w:t>
      </w:r>
      <w:r w:rsidR="00CF0F6C">
        <w:rPr>
          <w:rFonts w:ascii="Times New Roman" w:hAnsi="Times New Roman" w:cs="Times New Roman"/>
        </w:rPr>
        <w:t>es</w:t>
      </w:r>
      <w:r w:rsidR="00F775A8">
        <w:rPr>
          <w:rFonts w:ascii="Times New Roman" w:hAnsi="Times New Roman" w:cs="Times New Roman"/>
        </w:rPr>
        <w:t xml:space="preserve"> </w:t>
      </w:r>
      <w:r w:rsidR="001827BF" w:rsidRPr="00F775A8">
        <w:rPr>
          <w:rFonts w:ascii="Times New Roman" w:hAnsi="Times New Roman" w:cs="Times New Roman"/>
        </w:rPr>
        <w:t xml:space="preserve">struggle with </w:t>
      </w:r>
      <w:r w:rsidR="004B503D" w:rsidRPr="00F775A8">
        <w:rPr>
          <w:rFonts w:ascii="Times New Roman" w:hAnsi="Times New Roman" w:cs="Times New Roman"/>
        </w:rPr>
        <w:t xml:space="preserve">a lack of </w:t>
      </w:r>
      <w:r w:rsidR="00E572CB" w:rsidRPr="00F775A8">
        <w:rPr>
          <w:rFonts w:ascii="Times New Roman" w:hAnsi="Times New Roman" w:cs="Times New Roman"/>
        </w:rPr>
        <w:t>understanding of</w:t>
      </w:r>
      <w:r w:rsidR="004B503D" w:rsidRPr="00F775A8">
        <w:rPr>
          <w:rFonts w:ascii="Times New Roman" w:hAnsi="Times New Roman" w:cs="Times New Roman"/>
        </w:rPr>
        <w:t xml:space="preserve"> </w:t>
      </w:r>
      <w:r w:rsidR="00914F4E">
        <w:rPr>
          <w:rFonts w:ascii="Times New Roman" w:hAnsi="Times New Roman" w:cs="Times New Roman"/>
        </w:rPr>
        <w:t>their</w:t>
      </w:r>
      <w:r w:rsidR="004B503D" w:rsidRPr="00F775A8">
        <w:rPr>
          <w:rFonts w:ascii="Times New Roman" w:hAnsi="Times New Roman" w:cs="Times New Roman"/>
        </w:rPr>
        <w:t xml:space="preserve"> duties and responsibilities</w:t>
      </w:r>
      <w:r w:rsidR="00F775A8">
        <w:rPr>
          <w:rFonts w:ascii="Times New Roman" w:hAnsi="Times New Roman" w:cs="Times New Roman"/>
        </w:rPr>
        <w:t>.</w:t>
      </w:r>
      <w:r w:rsidR="00613937" w:rsidRPr="00F775A8">
        <w:rPr>
          <w:rFonts w:ascii="Times New Roman" w:hAnsi="Times New Roman" w:cs="Times New Roman"/>
        </w:rPr>
        <w:t xml:space="preserve"> </w:t>
      </w:r>
      <w:r w:rsidR="00672CBB">
        <w:rPr>
          <w:rFonts w:ascii="Times New Roman" w:hAnsi="Times New Roman" w:cs="Times New Roman"/>
        </w:rPr>
        <w:t>These challenges, combined with</w:t>
      </w:r>
      <w:r w:rsidR="008670B1">
        <w:rPr>
          <w:rFonts w:ascii="Times New Roman" w:hAnsi="Times New Roman" w:cs="Times New Roman"/>
        </w:rPr>
        <w:t xml:space="preserve"> customers who do not </w:t>
      </w:r>
      <w:r w:rsidR="00E572CB">
        <w:rPr>
          <w:rFonts w:ascii="Times New Roman" w:hAnsi="Times New Roman" w:cs="Times New Roman"/>
        </w:rPr>
        <w:t>get adequate information</w:t>
      </w:r>
      <w:r w:rsidR="008F7D59">
        <w:rPr>
          <w:rFonts w:ascii="Times New Roman" w:hAnsi="Times New Roman" w:cs="Times New Roman"/>
        </w:rPr>
        <w:t>,</w:t>
      </w:r>
      <w:r w:rsidR="00E572CB">
        <w:rPr>
          <w:rFonts w:ascii="Times New Roman" w:hAnsi="Times New Roman" w:cs="Times New Roman"/>
        </w:rPr>
        <w:t xml:space="preserve"> </w:t>
      </w:r>
      <w:r w:rsidR="00152B1C">
        <w:rPr>
          <w:rFonts w:ascii="Times New Roman" w:hAnsi="Times New Roman" w:cs="Times New Roman"/>
        </w:rPr>
        <w:t xml:space="preserve">severely </w:t>
      </w:r>
      <w:r w:rsidR="0057038D">
        <w:rPr>
          <w:rFonts w:ascii="Times New Roman" w:hAnsi="Times New Roman" w:cs="Times New Roman"/>
        </w:rPr>
        <w:t>limit</w:t>
      </w:r>
      <w:r w:rsidR="00152B1C">
        <w:rPr>
          <w:rFonts w:ascii="Times New Roman" w:hAnsi="Times New Roman" w:cs="Times New Roman"/>
        </w:rPr>
        <w:t xml:space="preserve"> </w:t>
      </w:r>
      <w:r w:rsidR="00F14709">
        <w:rPr>
          <w:rFonts w:ascii="Times New Roman" w:hAnsi="Times New Roman" w:cs="Times New Roman"/>
        </w:rPr>
        <w:t xml:space="preserve">the </w:t>
      </w:r>
      <w:r w:rsidR="00152B1C">
        <w:rPr>
          <w:rFonts w:ascii="Times New Roman" w:hAnsi="Times New Roman" w:cs="Times New Roman"/>
        </w:rPr>
        <w:t xml:space="preserve">ability to </w:t>
      </w:r>
      <w:r w:rsidR="00B476E4">
        <w:rPr>
          <w:rFonts w:ascii="Times New Roman" w:hAnsi="Times New Roman" w:cs="Times New Roman"/>
        </w:rPr>
        <w:t xml:space="preserve">adequately </w:t>
      </w:r>
      <w:r w:rsidR="00152B1C">
        <w:rPr>
          <w:rFonts w:ascii="Times New Roman" w:hAnsi="Times New Roman" w:cs="Times New Roman"/>
        </w:rPr>
        <w:t>address critical</w:t>
      </w:r>
      <w:r w:rsidR="008F7D59">
        <w:rPr>
          <w:rFonts w:ascii="Times New Roman" w:hAnsi="Times New Roman" w:cs="Times New Roman"/>
        </w:rPr>
        <w:t xml:space="preserve"> </w:t>
      </w:r>
      <w:r w:rsidR="00CF0F6C">
        <w:rPr>
          <w:rFonts w:ascii="Times New Roman" w:hAnsi="Times New Roman" w:cs="Times New Roman"/>
        </w:rPr>
        <w:t xml:space="preserve">and long-term </w:t>
      </w:r>
      <w:r w:rsidR="00B476E4">
        <w:rPr>
          <w:rFonts w:ascii="Times New Roman" w:hAnsi="Times New Roman" w:cs="Times New Roman"/>
        </w:rPr>
        <w:t xml:space="preserve">issues </w:t>
      </w:r>
      <w:r w:rsidR="008F7D59">
        <w:rPr>
          <w:rFonts w:ascii="Times New Roman" w:hAnsi="Times New Roman" w:cs="Times New Roman"/>
        </w:rPr>
        <w:t>at the individual system level.</w:t>
      </w:r>
      <w:r w:rsidR="008670B1">
        <w:rPr>
          <w:rFonts w:ascii="Times New Roman" w:hAnsi="Times New Roman" w:cs="Times New Roman"/>
        </w:rPr>
        <w:t xml:space="preserve"> </w:t>
      </w:r>
    </w:p>
    <w:p w14:paraId="4745B4EF" w14:textId="294CF458" w:rsidR="003B7D6F" w:rsidRDefault="003B7D6F" w:rsidP="003B7D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6A11">
        <w:rPr>
          <w:rFonts w:ascii="Times New Roman" w:hAnsi="Times New Roman" w:cs="Times New Roman"/>
        </w:rPr>
        <w:t xml:space="preserve">Financial </w:t>
      </w:r>
      <w:r w:rsidR="004575EC">
        <w:rPr>
          <w:rFonts w:ascii="Times New Roman" w:hAnsi="Times New Roman" w:cs="Times New Roman"/>
        </w:rPr>
        <w:t>conditions at most of the rural and small systems are</w:t>
      </w:r>
      <w:r w:rsidR="00563C5E">
        <w:rPr>
          <w:rFonts w:ascii="Times New Roman" w:hAnsi="Times New Roman" w:cs="Times New Roman"/>
        </w:rPr>
        <w:t xml:space="preserve"> a significant challenge with many operating almost day-to-day</w:t>
      </w:r>
      <w:r w:rsidR="006855A7">
        <w:rPr>
          <w:rFonts w:ascii="Times New Roman" w:hAnsi="Times New Roman" w:cs="Times New Roman"/>
        </w:rPr>
        <w:t xml:space="preserve"> with little or no capacity for catastrophic failures without significant outside </w:t>
      </w:r>
      <w:r w:rsidR="00EC2078">
        <w:rPr>
          <w:rFonts w:ascii="Times New Roman" w:hAnsi="Times New Roman" w:cs="Times New Roman"/>
        </w:rPr>
        <w:t>assistance (read State or federal funds)</w:t>
      </w:r>
      <w:r w:rsidR="004B1D8E">
        <w:rPr>
          <w:rFonts w:ascii="Times New Roman" w:hAnsi="Times New Roman" w:cs="Times New Roman"/>
        </w:rPr>
        <w:t xml:space="preserve">. </w:t>
      </w:r>
      <w:r w:rsidR="00F242CF">
        <w:rPr>
          <w:rFonts w:ascii="Times New Roman" w:hAnsi="Times New Roman" w:cs="Times New Roman"/>
        </w:rPr>
        <w:t>With some start-up investment, a</w:t>
      </w:r>
      <w:r w:rsidR="004B1D8E">
        <w:rPr>
          <w:rFonts w:ascii="Times New Roman" w:hAnsi="Times New Roman" w:cs="Times New Roman"/>
        </w:rPr>
        <w:t xml:space="preserve"> regional</w:t>
      </w:r>
      <w:r w:rsidR="00EF3F72">
        <w:rPr>
          <w:rFonts w:ascii="Times New Roman" w:hAnsi="Times New Roman" w:cs="Times New Roman"/>
        </w:rPr>
        <w:t xml:space="preserve"> </w:t>
      </w:r>
      <w:r w:rsidR="005B4372">
        <w:rPr>
          <w:rFonts w:ascii="Times New Roman" w:hAnsi="Times New Roman" w:cs="Times New Roman"/>
        </w:rPr>
        <w:t xml:space="preserve">entity </w:t>
      </w:r>
      <w:r w:rsidR="00EF3F72">
        <w:rPr>
          <w:rFonts w:ascii="Times New Roman" w:hAnsi="Times New Roman" w:cs="Times New Roman"/>
        </w:rPr>
        <w:t>c</w:t>
      </w:r>
      <w:r w:rsidR="004B1D8E">
        <w:rPr>
          <w:rFonts w:ascii="Times New Roman" w:hAnsi="Times New Roman" w:cs="Times New Roman"/>
        </w:rPr>
        <w:t xml:space="preserve">an </w:t>
      </w:r>
      <w:r w:rsidRPr="002F6A11">
        <w:rPr>
          <w:rFonts w:ascii="Times New Roman" w:hAnsi="Times New Roman" w:cs="Times New Roman"/>
        </w:rPr>
        <w:t xml:space="preserve">commit to complete </w:t>
      </w:r>
      <w:r w:rsidR="00783DC9">
        <w:rPr>
          <w:rFonts w:ascii="Times New Roman" w:hAnsi="Times New Roman" w:cs="Times New Roman"/>
        </w:rPr>
        <w:t xml:space="preserve">proper </w:t>
      </w:r>
      <w:r w:rsidR="003E18DB">
        <w:rPr>
          <w:rFonts w:ascii="Times New Roman" w:hAnsi="Times New Roman" w:cs="Times New Roman"/>
        </w:rPr>
        <w:t>assessment</w:t>
      </w:r>
      <w:r w:rsidR="00783DC9">
        <w:rPr>
          <w:rFonts w:ascii="Times New Roman" w:hAnsi="Times New Roman" w:cs="Times New Roman"/>
        </w:rPr>
        <w:t>s</w:t>
      </w:r>
      <w:r w:rsidR="00B46330">
        <w:rPr>
          <w:rStyle w:val="FootnoteReference"/>
          <w:rFonts w:ascii="Times New Roman" w:hAnsi="Times New Roman" w:cs="Times New Roman"/>
        </w:rPr>
        <w:footnoteReference w:id="16"/>
      </w:r>
      <w:r w:rsidR="008B6D21">
        <w:rPr>
          <w:rFonts w:ascii="Times New Roman" w:hAnsi="Times New Roman" w:cs="Times New Roman"/>
        </w:rPr>
        <w:t xml:space="preserve"> which lead to full</w:t>
      </w:r>
      <w:r w:rsidR="003E18DB">
        <w:rPr>
          <w:rFonts w:ascii="Times New Roman" w:hAnsi="Times New Roman" w:cs="Times New Roman"/>
        </w:rPr>
        <w:t xml:space="preserve"> </w:t>
      </w:r>
      <w:r w:rsidRPr="002F6A11">
        <w:rPr>
          <w:rFonts w:ascii="Times New Roman" w:hAnsi="Times New Roman" w:cs="Times New Roman"/>
        </w:rPr>
        <w:t>realization</w:t>
      </w:r>
      <w:r w:rsidR="003E18DB">
        <w:rPr>
          <w:rFonts w:ascii="Times New Roman" w:hAnsi="Times New Roman" w:cs="Times New Roman"/>
        </w:rPr>
        <w:t xml:space="preserve"> </w:t>
      </w:r>
      <w:r w:rsidRPr="002F6A11">
        <w:rPr>
          <w:rFonts w:ascii="Times New Roman" w:hAnsi="Times New Roman" w:cs="Times New Roman"/>
        </w:rPr>
        <w:t xml:space="preserve">of </w:t>
      </w:r>
      <w:r w:rsidR="000344FB">
        <w:rPr>
          <w:rFonts w:ascii="Times New Roman" w:hAnsi="Times New Roman" w:cs="Times New Roman"/>
        </w:rPr>
        <w:t xml:space="preserve">the </w:t>
      </w:r>
      <w:r w:rsidRPr="002F6A11">
        <w:rPr>
          <w:rFonts w:ascii="Times New Roman" w:hAnsi="Times New Roman" w:cs="Times New Roman"/>
        </w:rPr>
        <w:t>current needs</w:t>
      </w:r>
      <w:r w:rsidR="004C4287">
        <w:rPr>
          <w:rFonts w:ascii="Times New Roman" w:hAnsi="Times New Roman" w:cs="Times New Roman"/>
        </w:rPr>
        <w:t xml:space="preserve"> and</w:t>
      </w:r>
      <w:r w:rsidRPr="002F6A11">
        <w:rPr>
          <w:rFonts w:ascii="Times New Roman" w:hAnsi="Times New Roman" w:cs="Times New Roman"/>
        </w:rPr>
        <w:t xml:space="preserve"> near-term</w:t>
      </w:r>
      <w:r w:rsidR="00797D93">
        <w:rPr>
          <w:rFonts w:ascii="Times New Roman" w:hAnsi="Times New Roman" w:cs="Times New Roman"/>
        </w:rPr>
        <w:t xml:space="preserve"> </w:t>
      </w:r>
      <w:r w:rsidRPr="002F6A11">
        <w:rPr>
          <w:rFonts w:ascii="Times New Roman" w:hAnsi="Times New Roman" w:cs="Times New Roman"/>
        </w:rPr>
        <w:t>investments required to develop fully compliant and sustainable systems. An</w:t>
      </w:r>
      <w:r w:rsidR="004F2DE6">
        <w:rPr>
          <w:rFonts w:ascii="Times New Roman" w:hAnsi="Times New Roman" w:cs="Times New Roman"/>
        </w:rPr>
        <w:t>y</w:t>
      </w:r>
      <w:r w:rsidRPr="002F6A11">
        <w:rPr>
          <w:rFonts w:ascii="Times New Roman" w:hAnsi="Times New Roman" w:cs="Times New Roman"/>
        </w:rPr>
        <w:t xml:space="preserve"> existing-system physical assessment</w:t>
      </w:r>
      <w:r w:rsidR="004F2DE6">
        <w:rPr>
          <w:rFonts w:ascii="Times New Roman" w:hAnsi="Times New Roman" w:cs="Times New Roman"/>
        </w:rPr>
        <w:t>s</w:t>
      </w:r>
      <w:r w:rsidRPr="002F6A11">
        <w:rPr>
          <w:rFonts w:ascii="Times New Roman" w:hAnsi="Times New Roman" w:cs="Times New Roman"/>
        </w:rPr>
        <w:t xml:space="preserve"> </w:t>
      </w:r>
      <w:r w:rsidR="00D72F0E">
        <w:rPr>
          <w:rFonts w:ascii="Times New Roman" w:hAnsi="Times New Roman" w:cs="Times New Roman"/>
        </w:rPr>
        <w:t>c</w:t>
      </w:r>
      <w:r w:rsidRPr="002F6A11">
        <w:rPr>
          <w:rFonts w:ascii="Times New Roman" w:hAnsi="Times New Roman" w:cs="Times New Roman"/>
        </w:rPr>
        <w:t>ould</w:t>
      </w:r>
      <w:r w:rsidR="00F242CF">
        <w:rPr>
          <w:rFonts w:ascii="Times New Roman" w:hAnsi="Times New Roman" w:cs="Times New Roman"/>
        </w:rPr>
        <w:t xml:space="preserve"> also</w:t>
      </w:r>
      <w:r w:rsidRPr="002F6A11">
        <w:rPr>
          <w:rFonts w:ascii="Times New Roman" w:hAnsi="Times New Roman" w:cs="Times New Roman"/>
        </w:rPr>
        <w:t xml:space="preserve"> be paid for by </w:t>
      </w:r>
      <w:r w:rsidR="00D72F0E">
        <w:rPr>
          <w:rFonts w:ascii="Times New Roman" w:hAnsi="Times New Roman" w:cs="Times New Roman"/>
        </w:rPr>
        <w:t>an</w:t>
      </w:r>
      <w:r w:rsidRPr="002F6A11">
        <w:rPr>
          <w:rFonts w:ascii="Times New Roman" w:hAnsi="Times New Roman" w:cs="Times New Roman"/>
        </w:rPr>
        <w:t xml:space="preserve"> external funding source along with the investment in the identified immediate needs. </w:t>
      </w:r>
      <w:r w:rsidR="004F2DE6">
        <w:rPr>
          <w:rFonts w:ascii="Times New Roman" w:hAnsi="Times New Roman" w:cs="Times New Roman"/>
        </w:rPr>
        <w:t>Once</w:t>
      </w:r>
      <w:r w:rsidRPr="002F6A11">
        <w:rPr>
          <w:rFonts w:ascii="Times New Roman" w:hAnsi="Times New Roman" w:cs="Times New Roman"/>
        </w:rPr>
        <w:t xml:space="preserve"> those expenses are covered, the pooled </w:t>
      </w:r>
      <w:r>
        <w:rPr>
          <w:rFonts w:ascii="Times New Roman" w:hAnsi="Times New Roman" w:cs="Times New Roman"/>
        </w:rPr>
        <w:t>(</w:t>
      </w:r>
      <w:r w:rsidR="00663C83">
        <w:rPr>
          <w:rFonts w:ascii="Times New Roman" w:hAnsi="Times New Roman" w:cs="Times New Roman"/>
        </w:rPr>
        <w:t>s</w:t>
      </w:r>
      <w:r w:rsidRPr="00CE3ADC">
        <w:rPr>
          <w:rFonts w:ascii="Times New Roman" w:hAnsi="Times New Roman" w:cs="Times New Roman"/>
          <w:b/>
          <w:bCs/>
          <w:i/>
          <w:iCs/>
        </w:rPr>
        <w:t>caled</w:t>
      </w:r>
      <w:r>
        <w:rPr>
          <w:rFonts w:ascii="Times New Roman" w:hAnsi="Times New Roman" w:cs="Times New Roman"/>
        </w:rPr>
        <w:t xml:space="preserve">) </w:t>
      </w:r>
      <w:r w:rsidR="00380A6B">
        <w:rPr>
          <w:rFonts w:ascii="Times New Roman" w:hAnsi="Times New Roman" w:cs="Times New Roman"/>
        </w:rPr>
        <w:t xml:space="preserve">the recipient </w:t>
      </w:r>
      <w:r w:rsidR="00346EB0">
        <w:rPr>
          <w:rFonts w:ascii="Times New Roman" w:hAnsi="Times New Roman" w:cs="Times New Roman"/>
        </w:rPr>
        <w:t xml:space="preserve">aggregation </w:t>
      </w:r>
      <w:r w:rsidRPr="002F6A11">
        <w:rPr>
          <w:rFonts w:ascii="Times New Roman" w:hAnsi="Times New Roman" w:cs="Times New Roman"/>
        </w:rPr>
        <w:t xml:space="preserve">organization </w:t>
      </w:r>
      <w:r>
        <w:rPr>
          <w:rFonts w:ascii="Times New Roman" w:hAnsi="Times New Roman" w:cs="Times New Roman"/>
        </w:rPr>
        <w:t>is better equipped to</w:t>
      </w:r>
      <w:r w:rsidRPr="002F6A11">
        <w:rPr>
          <w:rFonts w:ascii="Times New Roman" w:hAnsi="Times New Roman" w:cs="Times New Roman"/>
        </w:rPr>
        <w:t xml:space="preserve"> develop more affordable operation and maintenance rates to better manage newer infrastructure with best practices. Up-front pooled services also should </w:t>
      </w:r>
      <w:r w:rsidR="000D4177">
        <w:rPr>
          <w:rFonts w:ascii="Times New Roman" w:hAnsi="Times New Roman" w:cs="Times New Roman"/>
        </w:rPr>
        <w:t xml:space="preserve">include </w:t>
      </w:r>
      <w:r w:rsidR="004923EA">
        <w:rPr>
          <w:rFonts w:ascii="Times New Roman" w:hAnsi="Times New Roman" w:cs="Times New Roman"/>
        </w:rPr>
        <w:t>con</w:t>
      </w:r>
      <w:r w:rsidR="000F52EC">
        <w:rPr>
          <w:rFonts w:ascii="Times New Roman" w:hAnsi="Times New Roman" w:cs="Times New Roman"/>
        </w:rPr>
        <w:t>duct</w:t>
      </w:r>
      <w:r w:rsidR="000D4177">
        <w:rPr>
          <w:rFonts w:ascii="Times New Roman" w:hAnsi="Times New Roman" w:cs="Times New Roman"/>
        </w:rPr>
        <w:t>ing the physical</w:t>
      </w:r>
      <w:r w:rsidR="00FB5D31">
        <w:rPr>
          <w:rFonts w:ascii="Times New Roman" w:hAnsi="Times New Roman" w:cs="Times New Roman"/>
        </w:rPr>
        <w:t xml:space="preserve"> </w:t>
      </w:r>
      <w:r w:rsidR="000F52EC">
        <w:rPr>
          <w:rFonts w:ascii="Times New Roman" w:hAnsi="Times New Roman" w:cs="Times New Roman"/>
        </w:rPr>
        <w:t xml:space="preserve">assessment to </w:t>
      </w:r>
      <w:r w:rsidRPr="002F6A11">
        <w:rPr>
          <w:rFonts w:ascii="Times New Roman" w:hAnsi="Times New Roman" w:cs="Times New Roman"/>
        </w:rPr>
        <w:t xml:space="preserve">identify age-dated infrastructure that has remaining life for inclusion in ongoing </w:t>
      </w:r>
      <w:r w:rsidR="001A7D9A">
        <w:rPr>
          <w:rFonts w:ascii="Times New Roman" w:hAnsi="Times New Roman" w:cs="Times New Roman"/>
        </w:rPr>
        <w:t xml:space="preserve">asset management and </w:t>
      </w:r>
      <w:r w:rsidRPr="002F6A11">
        <w:rPr>
          <w:rFonts w:ascii="Times New Roman" w:hAnsi="Times New Roman" w:cs="Times New Roman"/>
        </w:rPr>
        <w:t>capital improvement plans (</w:t>
      </w:r>
      <w:r>
        <w:rPr>
          <w:rFonts w:ascii="Times New Roman" w:hAnsi="Times New Roman" w:cs="Times New Roman"/>
        </w:rPr>
        <w:t xml:space="preserve">EPA offers the </w:t>
      </w:r>
      <w:r w:rsidRPr="002162E8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</w:rPr>
        <w:t>heck-</w:t>
      </w:r>
      <w:r w:rsidRPr="002162E8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</w:rPr>
        <w:t>p-</w:t>
      </w:r>
      <w:r w:rsidRPr="002162E8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</w:rPr>
        <w:t xml:space="preserve">rogram for </w:t>
      </w:r>
      <w:r w:rsidRPr="002162E8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</w:rPr>
        <w:t xml:space="preserve">mall </w:t>
      </w:r>
      <w:r w:rsidRPr="002162E8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</w:rPr>
        <w:t>ystems</w:t>
      </w:r>
      <w:r w:rsidR="003D43B4">
        <w:rPr>
          <w:rStyle w:val="FootnoteReference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software for this function</w:t>
      </w:r>
      <w:r w:rsidRPr="002F6A11">
        <w:rPr>
          <w:rFonts w:ascii="Times New Roman" w:hAnsi="Times New Roman" w:cs="Times New Roman"/>
        </w:rPr>
        <w:t xml:space="preserve">). </w:t>
      </w:r>
      <w:r w:rsidR="00C34178">
        <w:rPr>
          <w:rFonts w:ascii="Times New Roman" w:hAnsi="Times New Roman" w:cs="Times New Roman"/>
        </w:rPr>
        <w:t>Once</w:t>
      </w:r>
      <w:r w:rsidRPr="002F6A11">
        <w:rPr>
          <w:rFonts w:ascii="Times New Roman" w:hAnsi="Times New Roman" w:cs="Times New Roman"/>
        </w:rPr>
        <w:t xml:space="preserve"> capital is </w:t>
      </w:r>
      <w:r w:rsidR="00C34178">
        <w:rPr>
          <w:rFonts w:ascii="Times New Roman" w:hAnsi="Times New Roman" w:cs="Times New Roman"/>
        </w:rPr>
        <w:t xml:space="preserve">attained </w:t>
      </w:r>
      <w:r w:rsidRPr="002F6A11">
        <w:rPr>
          <w:rFonts w:ascii="Times New Roman" w:hAnsi="Times New Roman" w:cs="Times New Roman"/>
        </w:rPr>
        <w:t xml:space="preserve">for the </w:t>
      </w:r>
      <w:r w:rsidR="00876563">
        <w:rPr>
          <w:rFonts w:ascii="Times New Roman" w:hAnsi="Times New Roman" w:cs="Times New Roman"/>
        </w:rPr>
        <w:t xml:space="preserve">initial </w:t>
      </w:r>
      <w:r w:rsidRPr="002F6A11">
        <w:rPr>
          <w:rFonts w:ascii="Times New Roman" w:hAnsi="Times New Roman" w:cs="Times New Roman"/>
        </w:rPr>
        <w:t xml:space="preserve">assessments, immediate improvements and upgrades, </w:t>
      </w:r>
      <w:r w:rsidR="00F22746">
        <w:rPr>
          <w:rFonts w:ascii="Times New Roman" w:hAnsi="Times New Roman" w:cs="Times New Roman"/>
        </w:rPr>
        <w:t xml:space="preserve">only </w:t>
      </w:r>
      <w:r w:rsidRPr="002F6A11">
        <w:rPr>
          <w:rFonts w:ascii="Times New Roman" w:hAnsi="Times New Roman" w:cs="Times New Roman"/>
        </w:rPr>
        <w:t xml:space="preserve">operations and maintenance costs will likely remain as the main </w:t>
      </w:r>
      <w:r w:rsidR="00600F2C">
        <w:rPr>
          <w:rFonts w:ascii="Times New Roman" w:hAnsi="Times New Roman" w:cs="Times New Roman"/>
        </w:rPr>
        <w:t xml:space="preserve">financial assessment and </w:t>
      </w:r>
      <w:r w:rsidR="00F06FE1">
        <w:rPr>
          <w:rFonts w:ascii="Times New Roman" w:hAnsi="Times New Roman" w:cs="Times New Roman"/>
        </w:rPr>
        <w:t xml:space="preserve">calculation </w:t>
      </w:r>
      <w:r w:rsidR="00876563">
        <w:rPr>
          <w:rFonts w:ascii="Times New Roman" w:hAnsi="Times New Roman" w:cs="Times New Roman"/>
        </w:rPr>
        <w:t>but</w:t>
      </w:r>
      <w:r w:rsidR="00256C22">
        <w:rPr>
          <w:rFonts w:ascii="Times New Roman" w:hAnsi="Times New Roman" w:cs="Times New Roman"/>
        </w:rPr>
        <w:t xml:space="preserve"> likely</w:t>
      </w:r>
      <w:r w:rsidR="00FB5D31">
        <w:rPr>
          <w:rFonts w:ascii="Times New Roman" w:hAnsi="Times New Roman" w:cs="Times New Roman"/>
        </w:rPr>
        <w:t xml:space="preserve"> at </w:t>
      </w:r>
      <w:r w:rsidR="00F06FE1">
        <w:rPr>
          <w:rFonts w:ascii="Times New Roman" w:hAnsi="Times New Roman" w:cs="Times New Roman"/>
        </w:rPr>
        <w:t xml:space="preserve">a </w:t>
      </w:r>
      <w:r w:rsidR="00256C22">
        <w:rPr>
          <w:rFonts w:ascii="Times New Roman" w:hAnsi="Times New Roman" w:cs="Times New Roman"/>
        </w:rPr>
        <w:t xml:space="preserve">much more </w:t>
      </w:r>
      <w:r w:rsidRPr="002F6A11">
        <w:rPr>
          <w:rFonts w:ascii="Times New Roman" w:hAnsi="Times New Roman" w:cs="Times New Roman"/>
        </w:rPr>
        <w:t>affor</w:t>
      </w:r>
      <w:r>
        <w:rPr>
          <w:rFonts w:ascii="Times New Roman" w:hAnsi="Times New Roman" w:cs="Times New Roman"/>
        </w:rPr>
        <w:t xml:space="preserve">dable </w:t>
      </w:r>
      <w:r w:rsidRPr="002F6A11">
        <w:rPr>
          <w:rFonts w:ascii="Times New Roman" w:hAnsi="Times New Roman" w:cs="Times New Roman"/>
        </w:rPr>
        <w:t>consumer expense. Later, when additional system replacements must be added based on expired usable life</w:t>
      </w:r>
      <w:r w:rsidR="001303EB">
        <w:rPr>
          <w:rFonts w:ascii="Times New Roman" w:hAnsi="Times New Roman" w:cs="Times New Roman"/>
        </w:rPr>
        <w:t xml:space="preserve"> (</w:t>
      </w:r>
      <w:r w:rsidR="00DA680C">
        <w:rPr>
          <w:rFonts w:ascii="Times New Roman" w:hAnsi="Times New Roman" w:cs="Times New Roman"/>
        </w:rPr>
        <w:t>capital improvements schedule from CUPSS)</w:t>
      </w:r>
      <w:r w:rsidRPr="002F6A11">
        <w:rPr>
          <w:rFonts w:ascii="Times New Roman" w:hAnsi="Times New Roman" w:cs="Times New Roman"/>
        </w:rPr>
        <w:t xml:space="preserve">, the costs can come from a pooled replacement fund, </w:t>
      </w:r>
      <w:r w:rsidR="00BB717E">
        <w:rPr>
          <w:rFonts w:ascii="Times New Roman" w:hAnsi="Times New Roman" w:cs="Times New Roman"/>
        </w:rPr>
        <w:t>e</w:t>
      </w:r>
      <w:r w:rsidRPr="002F6A11">
        <w:rPr>
          <w:rFonts w:ascii="Times New Roman" w:hAnsi="Times New Roman" w:cs="Times New Roman"/>
        </w:rPr>
        <w:t xml:space="preserve">mbedded in the </w:t>
      </w:r>
      <w:r>
        <w:rPr>
          <w:rFonts w:ascii="Times New Roman" w:hAnsi="Times New Roman" w:cs="Times New Roman"/>
        </w:rPr>
        <w:t>operation and maintenance (</w:t>
      </w:r>
      <w:r w:rsidRPr="002F6A11">
        <w:rPr>
          <w:rFonts w:ascii="Times New Roman" w:hAnsi="Times New Roman" w:cs="Times New Roman"/>
        </w:rPr>
        <w:t>O&amp;M</w:t>
      </w:r>
      <w:r>
        <w:rPr>
          <w:rFonts w:ascii="Times New Roman" w:hAnsi="Times New Roman" w:cs="Times New Roman"/>
        </w:rPr>
        <w:t>)</w:t>
      </w:r>
      <w:r w:rsidRPr="002F6A11">
        <w:rPr>
          <w:rFonts w:ascii="Times New Roman" w:hAnsi="Times New Roman" w:cs="Times New Roman"/>
        </w:rPr>
        <w:t xml:space="preserve"> fund, a much easier mechanism than each individual entity having to invest in replacement costs on their own. The JPA</w:t>
      </w:r>
      <w:r>
        <w:rPr>
          <w:rFonts w:ascii="Times New Roman" w:hAnsi="Times New Roman" w:cs="Times New Roman"/>
        </w:rPr>
        <w:t xml:space="preserve"> or </w:t>
      </w:r>
      <w:r w:rsidR="00D27A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pecial </w:t>
      </w:r>
      <w:r w:rsidR="00D27A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istrict</w:t>
      </w:r>
      <w:r w:rsidRPr="002F6A11">
        <w:rPr>
          <w:rFonts w:ascii="Times New Roman" w:hAnsi="Times New Roman" w:cs="Times New Roman"/>
        </w:rPr>
        <w:t xml:space="preserve">, by having pooled income, can also mitigate some of the ongoing capital costs with pooled investment </w:t>
      </w:r>
      <w:r w:rsidR="00D15B14">
        <w:rPr>
          <w:rFonts w:ascii="Times New Roman" w:hAnsi="Times New Roman" w:cs="Times New Roman"/>
        </w:rPr>
        <w:t xml:space="preserve">strategies </w:t>
      </w:r>
      <w:r w:rsidRPr="002F6A11">
        <w:rPr>
          <w:rFonts w:ascii="Times New Roman" w:hAnsi="Times New Roman" w:cs="Times New Roman"/>
        </w:rPr>
        <w:t>(</w:t>
      </w:r>
      <w:r w:rsidRPr="002162E8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</w:rPr>
        <w:t xml:space="preserve">ocal </w:t>
      </w:r>
      <w:r w:rsidRPr="002162E8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 xml:space="preserve">gency </w:t>
      </w:r>
      <w:r w:rsidRPr="002162E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</w:rPr>
        <w:t xml:space="preserve">nvestment </w:t>
      </w:r>
      <w:r w:rsidRPr="002162E8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</w:rPr>
        <w:t>unds</w:t>
      </w:r>
      <w:r w:rsidR="001F2D0C">
        <w:rPr>
          <w:rStyle w:val="FootnoteReference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 xml:space="preserve"> and related </w:t>
      </w:r>
      <w:r w:rsidR="00BC6DB4">
        <w:rPr>
          <w:rFonts w:ascii="Times New Roman" w:hAnsi="Times New Roman" w:cs="Times New Roman"/>
        </w:rPr>
        <w:lastRenderedPageBreak/>
        <w:t xml:space="preserve">investment </w:t>
      </w:r>
      <w:r>
        <w:rPr>
          <w:rFonts w:ascii="Times New Roman" w:hAnsi="Times New Roman" w:cs="Times New Roman"/>
        </w:rPr>
        <w:t>programs</w:t>
      </w:r>
      <w:r w:rsidRPr="002F6A11">
        <w:rPr>
          <w:rFonts w:ascii="Times New Roman" w:hAnsi="Times New Roman" w:cs="Times New Roman"/>
        </w:rPr>
        <w:t>)</w:t>
      </w:r>
      <w:r w:rsidR="00DA680C">
        <w:rPr>
          <w:rFonts w:ascii="Times New Roman" w:hAnsi="Times New Roman" w:cs="Times New Roman"/>
        </w:rPr>
        <w:t xml:space="preserve"> for public agencies</w:t>
      </w:r>
      <w:r w:rsidRPr="002F6A11">
        <w:rPr>
          <w:rFonts w:ascii="Times New Roman" w:hAnsi="Times New Roman" w:cs="Times New Roman"/>
        </w:rPr>
        <w:t xml:space="preserve">. Pooled investment </w:t>
      </w:r>
      <w:r w:rsidR="00D15B14">
        <w:rPr>
          <w:rFonts w:ascii="Times New Roman" w:hAnsi="Times New Roman" w:cs="Times New Roman"/>
        </w:rPr>
        <w:t>c</w:t>
      </w:r>
      <w:r w:rsidRPr="002F6A11">
        <w:rPr>
          <w:rFonts w:ascii="Times New Roman" w:hAnsi="Times New Roman" w:cs="Times New Roman"/>
        </w:rPr>
        <w:t>ould also include more affordable catastrophic events and risk management insurance.</w:t>
      </w:r>
    </w:p>
    <w:p w14:paraId="03FAB94C" w14:textId="77777777" w:rsidR="004908CC" w:rsidRPr="002F6A11" w:rsidRDefault="004908CC" w:rsidP="004908CC">
      <w:pPr>
        <w:pStyle w:val="ListParagraph"/>
        <w:jc w:val="both"/>
        <w:rPr>
          <w:rFonts w:ascii="Times New Roman" w:hAnsi="Times New Roman" w:cs="Times New Roman"/>
        </w:rPr>
      </w:pPr>
    </w:p>
    <w:p w14:paraId="6CAFAB46" w14:textId="4D7D6859" w:rsidR="00A25770" w:rsidRDefault="003B7D6F" w:rsidP="000A7E32">
      <w:pPr>
        <w:pStyle w:val="ListParagraph"/>
        <w:spacing w:after="200"/>
        <w:contextualSpacing w:val="0"/>
        <w:jc w:val="both"/>
        <w:rPr>
          <w:rFonts w:ascii="Times New Roman" w:hAnsi="Times New Roman" w:cs="Times New Roman"/>
        </w:rPr>
      </w:pPr>
      <w:r w:rsidRPr="002F6A11">
        <w:rPr>
          <w:rFonts w:ascii="Times New Roman" w:hAnsi="Times New Roman" w:cs="Times New Roman"/>
        </w:rPr>
        <w:t xml:space="preserve">Organizational improvements also include the need for </w:t>
      </w:r>
      <w:r w:rsidR="007D76C3">
        <w:rPr>
          <w:rFonts w:ascii="Times New Roman" w:hAnsi="Times New Roman" w:cs="Times New Roman"/>
        </w:rPr>
        <w:t>trained</w:t>
      </w:r>
      <w:r w:rsidRPr="002F6A11">
        <w:rPr>
          <w:rFonts w:ascii="Times New Roman" w:hAnsi="Times New Roman" w:cs="Times New Roman"/>
        </w:rPr>
        <w:t xml:space="preserve"> </w:t>
      </w:r>
      <w:r w:rsidR="00167C48">
        <w:rPr>
          <w:rFonts w:ascii="Times New Roman" w:hAnsi="Times New Roman" w:cs="Times New Roman"/>
        </w:rPr>
        <w:t>representative</w:t>
      </w:r>
      <w:r w:rsidRPr="002F6A11">
        <w:rPr>
          <w:rFonts w:ascii="Times New Roman" w:hAnsi="Times New Roman" w:cs="Times New Roman"/>
        </w:rPr>
        <w:t xml:space="preserve"> leadership that can provide </w:t>
      </w:r>
      <w:r w:rsidR="00CE6D93">
        <w:rPr>
          <w:rFonts w:ascii="Times New Roman" w:hAnsi="Times New Roman" w:cs="Times New Roman"/>
        </w:rPr>
        <w:t xml:space="preserve">proper </w:t>
      </w:r>
      <w:r w:rsidRPr="002F6A11">
        <w:rPr>
          <w:rFonts w:ascii="Times New Roman" w:hAnsi="Times New Roman" w:cs="Times New Roman"/>
        </w:rPr>
        <w:t>stewardship</w:t>
      </w:r>
      <w:r w:rsidR="00443D44">
        <w:rPr>
          <w:rFonts w:ascii="Times New Roman" w:hAnsi="Times New Roman" w:cs="Times New Roman"/>
        </w:rPr>
        <w:t xml:space="preserve"> as </w:t>
      </w:r>
      <w:r w:rsidR="003D44FC">
        <w:rPr>
          <w:rFonts w:ascii="Times New Roman" w:hAnsi="Times New Roman" w:cs="Times New Roman"/>
        </w:rPr>
        <w:t>well as</w:t>
      </w:r>
      <w:r w:rsidR="00443D44">
        <w:rPr>
          <w:rFonts w:ascii="Times New Roman" w:hAnsi="Times New Roman" w:cs="Times New Roman"/>
        </w:rPr>
        <w:t xml:space="preserve"> a</w:t>
      </w:r>
      <w:r w:rsidR="000C54D7">
        <w:rPr>
          <w:rFonts w:ascii="Times New Roman" w:hAnsi="Times New Roman" w:cs="Times New Roman"/>
        </w:rPr>
        <w:t>ddress the concerns of other</w:t>
      </w:r>
      <w:r w:rsidRPr="002F6A11">
        <w:rPr>
          <w:rFonts w:ascii="Times New Roman" w:hAnsi="Times New Roman" w:cs="Times New Roman"/>
        </w:rPr>
        <w:t xml:space="preserve"> local leaders who </w:t>
      </w:r>
      <w:r w:rsidR="00094E28">
        <w:rPr>
          <w:rFonts w:ascii="Times New Roman" w:hAnsi="Times New Roman" w:cs="Times New Roman"/>
        </w:rPr>
        <w:t xml:space="preserve">may </w:t>
      </w:r>
      <w:r w:rsidRPr="002F6A11">
        <w:rPr>
          <w:rFonts w:ascii="Times New Roman" w:hAnsi="Times New Roman" w:cs="Times New Roman"/>
        </w:rPr>
        <w:t xml:space="preserve">have concerns about loss of their </w:t>
      </w:r>
      <w:r w:rsidR="001B5E19">
        <w:rPr>
          <w:rFonts w:ascii="Times New Roman" w:hAnsi="Times New Roman" w:cs="Times New Roman"/>
        </w:rPr>
        <w:t xml:space="preserve">community’s </w:t>
      </w:r>
      <w:r w:rsidRPr="002F6A11">
        <w:rPr>
          <w:rFonts w:ascii="Times New Roman" w:hAnsi="Times New Roman" w:cs="Times New Roman"/>
        </w:rPr>
        <w:t xml:space="preserve">voice. </w:t>
      </w:r>
      <w:r w:rsidR="000A7E32">
        <w:rPr>
          <w:rFonts w:ascii="Times New Roman" w:hAnsi="Times New Roman" w:cs="Times New Roman"/>
        </w:rPr>
        <w:t>In fact, of all the recommendations incorporated in this report</w:t>
      </w:r>
      <w:r w:rsidR="00396D32">
        <w:rPr>
          <w:rFonts w:ascii="Times New Roman" w:hAnsi="Times New Roman" w:cs="Times New Roman"/>
        </w:rPr>
        <w:t xml:space="preserve"> the most important one is</w:t>
      </w:r>
      <w:r w:rsidR="002A22D9">
        <w:rPr>
          <w:rFonts w:ascii="Times New Roman" w:hAnsi="Times New Roman" w:cs="Times New Roman"/>
        </w:rPr>
        <w:t xml:space="preserve"> to</w:t>
      </w:r>
      <w:r w:rsidR="00396D32">
        <w:rPr>
          <w:rFonts w:ascii="Times New Roman" w:hAnsi="Times New Roman" w:cs="Times New Roman"/>
        </w:rPr>
        <w:t xml:space="preserve"> make sure the individual communities do not lose their identity by organizing an institution that usurps local control</w:t>
      </w:r>
      <w:r w:rsidR="00D25DD3">
        <w:rPr>
          <w:rFonts w:ascii="Times New Roman" w:hAnsi="Times New Roman" w:cs="Times New Roman"/>
        </w:rPr>
        <w:t xml:space="preserve">, even if </w:t>
      </w:r>
      <w:r w:rsidR="00D22A9B">
        <w:rPr>
          <w:rFonts w:ascii="Times New Roman" w:hAnsi="Times New Roman" w:cs="Times New Roman"/>
        </w:rPr>
        <w:t>any such new</w:t>
      </w:r>
      <w:r w:rsidR="00C26F34">
        <w:rPr>
          <w:rFonts w:ascii="Times New Roman" w:hAnsi="Times New Roman" w:cs="Times New Roman"/>
        </w:rPr>
        <w:t xml:space="preserve"> authority </w:t>
      </w:r>
      <w:r w:rsidR="00D25DD3">
        <w:rPr>
          <w:rFonts w:ascii="Times New Roman" w:hAnsi="Times New Roman" w:cs="Times New Roman"/>
        </w:rPr>
        <w:t xml:space="preserve">is considered </w:t>
      </w:r>
      <w:r w:rsidR="00C26F34">
        <w:rPr>
          <w:rFonts w:ascii="Times New Roman" w:hAnsi="Times New Roman" w:cs="Times New Roman"/>
        </w:rPr>
        <w:t>to</w:t>
      </w:r>
      <w:r w:rsidR="00E547B5">
        <w:rPr>
          <w:rFonts w:ascii="Times New Roman" w:hAnsi="Times New Roman" w:cs="Times New Roman"/>
        </w:rPr>
        <w:t xml:space="preserve"> have </w:t>
      </w:r>
      <w:r w:rsidR="00D25DD3">
        <w:rPr>
          <w:rFonts w:ascii="Times New Roman" w:hAnsi="Times New Roman" w:cs="Times New Roman"/>
        </w:rPr>
        <w:t>a fair representation design</w:t>
      </w:r>
      <w:r w:rsidR="00E547B5">
        <w:rPr>
          <w:rFonts w:ascii="Times New Roman" w:hAnsi="Times New Roman" w:cs="Times New Roman"/>
        </w:rPr>
        <w:t>.</w:t>
      </w:r>
      <w:r w:rsidR="00D25DD3">
        <w:rPr>
          <w:rFonts w:ascii="Times New Roman" w:hAnsi="Times New Roman" w:cs="Times New Roman"/>
        </w:rPr>
        <w:t xml:space="preserve"> The critical </w:t>
      </w:r>
      <w:r w:rsidR="00052432">
        <w:rPr>
          <w:rFonts w:ascii="Times New Roman" w:hAnsi="Times New Roman" w:cs="Times New Roman"/>
        </w:rPr>
        <w:t xml:space="preserve">element of the new </w:t>
      </w:r>
      <w:r w:rsidR="001E4F2B">
        <w:rPr>
          <w:rFonts w:ascii="Times New Roman" w:hAnsi="Times New Roman" w:cs="Times New Roman"/>
        </w:rPr>
        <w:t xml:space="preserve">aggregated </w:t>
      </w:r>
      <w:r w:rsidR="00052432">
        <w:rPr>
          <w:rFonts w:ascii="Times New Roman" w:hAnsi="Times New Roman" w:cs="Times New Roman"/>
        </w:rPr>
        <w:t xml:space="preserve">entity is that it should be a </w:t>
      </w:r>
      <w:r w:rsidR="00052432" w:rsidRPr="00773AAD">
        <w:rPr>
          <w:rFonts w:ascii="Times New Roman" w:hAnsi="Times New Roman" w:cs="Times New Roman"/>
          <w:b/>
          <w:bCs/>
          <w:i/>
          <w:iCs/>
        </w:rPr>
        <w:t>service organization</w:t>
      </w:r>
      <w:r w:rsidR="00A177BF">
        <w:rPr>
          <w:rFonts w:ascii="Times New Roman" w:hAnsi="Times New Roman" w:cs="Times New Roman"/>
          <w:b/>
          <w:bCs/>
        </w:rPr>
        <w:t xml:space="preserve">, </w:t>
      </w:r>
      <w:r w:rsidR="00A177BF">
        <w:rPr>
          <w:rFonts w:ascii="Times New Roman" w:hAnsi="Times New Roman" w:cs="Times New Roman"/>
        </w:rPr>
        <w:t>with members</w:t>
      </w:r>
      <w:r w:rsidR="00744C9F">
        <w:rPr>
          <w:rFonts w:ascii="Times New Roman" w:hAnsi="Times New Roman" w:cs="Times New Roman"/>
        </w:rPr>
        <w:t xml:space="preserve"> joining to experience the </w:t>
      </w:r>
      <w:r w:rsidR="005F5536">
        <w:rPr>
          <w:rFonts w:ascii="Times New Roman" w:hAnsi="Times New Roman" w:cs="Times New Roman"/>
        </w:rPr>
        <w:t xml:space="preserve">opportunity for reduced costs from aggregated services </w:t>
      </w:r>
      <w:r w:rsidR="006015A4">
        <w:rPr>
          <w:rFonts w:ascii="Times New Roman" w:hAnsi="Times New Roman" w:cs="Times New Roman"/>
        </w:rPr>
        <w:t>potentially listed in</w:t>
      </w:r>
      <w:r w:rsidR="005F5536">
        <w:rPr>
          <w:rFonts w:ascii="Times New Roman" w:hAnsi="Times New Roman" w:cs="Times New Roman"/>
        </w:rPr>
        <w:t xml:space="preserve"> a </w:t>
      </w:r>
      <w:r w:rsidR="00B2643A">
        <w:rPr>
          <w:rFonts w:ascii="Times New Roman" w:hAnsi="Times New Roman" w:cs="Times New Roman"/>
        </w:rPr>
        <w:t>“</w:t>
      </w:r>
      <w:r w:rsidR="005F5536">
        <w:rPr>
          <w:rFonts w:ascii="Times New Roman" w:hAnsi="Times New Roman" w:cs="Times New Roman"/>
        </w:rPr>
        <w:t>menu</w:t>
      </w:r>
      <w:r w:rsidR="00B2643A">
        <w:rPr>
          <w:rFonts w:ascii="Times New Roman" w:hAnsi="Times New Roman" w:cs="Times New Roman"/>
        </w:rPr>
        <w:t>”</w:t>
      </w:r>
      <w:r w:rsidR="005F5536">
        <w:rPr>
          <w:rFonts w:ascii="Times New Roman" w:hAnsi="Times New Roman" w:cs="Times New Roman"/>
        </w:rPr>
        <w:t xml:space="preserve"> developed by the new entity.</w:t>
      </w:r>
      <w:r w:rsidR="00C46207">
        <w:rPr>
          <w:rFonts w:ascii="Times New Roman" w:hAnsi="Times New Roman" w:cs="Times New Roman"/>
        </w:rPr>
        <w:t xml:space="preserve"> The menu would include </w:t>
      </w:r>
      <w:r w:rsidR="005D4499">
        <w:rPr>
          <w:rFonts w:ascii="Times New Roman" w:hAnsi="Times New Roman" w:cs="Times New Roman"/>
        </w:rPr>
        <w:t xml:space="preserve">drinking water systems as a core, but other </w:t>
      </w:r>
      <w:r w:rsidR="00EB6CE6">
        <w:rPr>
          <w:rFonts w:ascii="Times New Roman" w:hAnsi="Times New Roman" w:cs="Times New Roman"/>
        </w:rPr>
        <w:t xml:space="preserve">related services such as wastewater </w:t>
      </w:r>
      <w:r w:rsidR="00F0272D">
        <w:rPr>
          <w:rFonts w:ascii="Times New Roman" w:hAnsi="Times New Roman" w:cs="Times New Roman"/>
        </w:rPr>
        <w:t xml:space="preserve">disposal </w:t>
      </w:r>
      <w:r w:rsidR="00A26A76">
        <w:rPr>
          <w:rFonts w:ascii="Times New Roman" w:hAnsi="Times New Roman" w:cs="Times New Roman"/>
        </w:rPr>
        <w:t xml:space="preserve">could be of value as well. </w:t>
      </w:r>
      <w:r w:rsidR="006D2A78">
        <w:rPr>
          <w:rFonts w:ascii="Times New Roman" w:hAnsi="Times New Roman" w:cs="Times New Roman"/>
        </w:rPr>
        <w:t>However, a</w:t>
      </w:r>
      <w:r w:rsidR="005F5536">
        <w:rPr>
          <w:rFonts w:ascii="Times New Roman" w:hAnsi="Times New Roman" w:cs="Times New Roman"/>
        </w:rPr>
        <w:t xml:space="preserve"> </w:t>
      </w:r>
      <w:r w:rsidR="00B06765">
        <w:rPr>
          <w:rFonts w:ascii="Times New Roman" w:hAnsi="Times New Roman" w:cs="Times New Roman"/>
        </w:rPr>
        <w:t xml:space="preserve">second critical organizational issue is that </w:t>
      </w:r>
      <w:r w:rsidR="00536509">
        <w:rPr>
          <w:rFonts w:ascii="Times New Roman" w:hAnsi="Times New Roman" w:cs="Times New Roman"/>
        </w:rPr>
        <w:t>to</w:t>
      </w:r>
      <w:r w:rsidR="00B06765">
        <w:rPr>
          <w:rFonts w:ascii="Times New Roman" w:hAnsi="Times New Roman" w:cs="Times New Roman"/>
        </w:rPr>
        <w:t xml:space="preserve"> be successful, the new entity needs a critical level of participation with the mi</w:t>
      </w:r>
      <w:r w:rsidR="00EE0A8D">
        <w:rPr>
          <w:rFonts w:ascii="Times New Roman" w:hAnsi="Times New Roman" w:cs="Times New Roman"/>
        </w:rPr>
        <w:t xml:space="preserve">nimum service encompassing </w:t>
      </w:r>
      <w:r w:rsidR="009E19F3">
        <w:rPr>
          <w:rFonts w:ascii="Times New Roman" w:hAnsi="Times New Roman" w:cs="Times New Roman"/>
        </w:rPr>
        <w:t>a</w:t>
      </w:r>
      <w:r w:rsidR="006D2A78">
        <w:rPr>
          <w:rFonts w:ascii="Times New Roman" w:hAnsi="Times New Roman" w:cs="Times New Roman"/>
        </w:rPr>
        <w:t xml:space="preserve"> critical mass of </w:t>
      </w:r>
      <w:r w:rsidR="00EE0A8D">
        <w:rPr>
          <w:rFonts w:ascii="Times New Roman" w:hAnsi="Times New Roman" w:cs="Times New Roman"/>
        </w:rPr>
        <w:t>drinking water systems in the target area</w:t>
      </w:r>
      <w:r w:rsidR="006B7035">
        <w:rPr>
          <w:rFonts w:ascii="Times New Roman" w:hAnsi="Times New Roman" w:cs="Times New Roman"/>
        </w:rPr>
        <w:t xml:space="preserve">. Without a core of contracted agencies at the scale needed to gain </w:t>
      </w:r>
      <w:r w:rsidR="003B606F">
        <w:rPr>
          <w:rFonts w:ascii="Times New Roman" w:hAnsi="Times New Roman" w:cs="Times New Roman"/>
        </w:rPr>
        <w:t xml:space="preserve">service </w:t>
      </w:r>
      <w:r w:rsidR="006B7035">
        <w:rPr>
          <w:rFonts w:ascii="Times New Roman" w:hAnsi="Times New Roman" w:cs="Times New Roman"/>
        </w:rPr>
        <w:t>cost averaging</w:t>
      </w:r>
      <w:r w:rsidR="00410B53">
        <w:rPr>
          <w:rFonts w:ascii="Times New Roman" w:hAnsi="Times New Roman" w:cs="Times New Roman"/>
        </w:rPr>
        <w:t xml:space="preserve">, the entity cannot survive. </w:t>
      </w:r>
      <w:r w:rsidR="00906113">
        <w:rPr>
          <w:rFonts w:ascii="Times New Roman" w:hAnsi="Times New Roman" w:cs="Times New Roman"/>
        </w:rPr>
        <w:t>To</w:t>
      </w:r>
      <w:r w:rsidR="00B2643A">
        <w:rPr>
          <w:rFonts w:ascii="Times New Roman" w:hAnsi="Times New Roman" w:cs="Times New Roman"/>
        </w:rPr>
        <w:t xml:space="preserve"> avoid</w:t>
      </w:r>
      <w:r w:rsidR="00573361">
        <w:rPr>
          <w:rFonts w:ascii="Times New Roman" w:hAnsi="Times New Roman" w:cs="Times New Roman"/>
        </w:rPr>
        <w:t xml:space="preserve"> developing a system of still too small or parochial regional entities</w:t>
      </w:r>
      <w:r w:rsidR="00161E0D">
        <w:rPr>
          <w:rFonts w:ascii="Times New Roman" w:hAnsi="Times New Roman" w:cs="Times New Roman"/>
        </w:rPr>
        <w:t>, a larger geographic scope</w:t>
      </w:r>
      <w:r w:rsidR="002D43C0">
        <w:rPr>
          <w:rFonts w:ascii="Times New Roman" w:hAnsi="Times New Roman" w:cs="Times New Roman"/>
        </w:rPr>
        <w:t xml:space="preserve"> should </w:t>
      </w:r>
      <w:r w:rsidR="005E2711">
        <w:rPr>
          <w:rFonts w:ascii="Times New Roman" w:hAnsi="Times New Roman" w:cs="Times New Roman"/>
        </w:rPr>
        <w:t xml:space="preserve">also </w:t>
      </w:r>
      <w:r w:rsidR="002D43C0">
        <w:rPr>
          <w:rFonts w:ascii="Times New Roman" w:hAnsi="Times New Roman" w:cs="Times New Roman"/>
        </w:rPr>
        <w:t xml:space="preserve">be a requirement for funding. The smallest scale </w:t>
      </w:r>
      <w:r w:rsidR="009E65CB">
        <w:rPr>
          <w:rFonts w:ascii="Times New Roman" w:hAnsi="Times New Roman" w:cs="Times New Roman"/>
        </w:rPr>
        <w:t xml:space="preserve">should be a shared </w:t>
      </w:r>
      <w:r w:rsidR="00C92261">
        <w:rPr>
          <w:rFonts w:ascii="Times New Roman" w:hAnsi="Times New Roman" w:cs="Times New Roman"/>
        </w:rPr>
        <w:t>surface and</w:t>
      </w:r>
      <w:r w:rsidR="00277DDE">
        <w:rPr>
          <w:rFonts w:ascii="Times New Roman" w:hAnsi="Times New Roman" w:cs="Times New Roman"/>
        </w:rPr>
        <w:t>/or</w:t>
      </w:r>
      <w:r w:rsidR="00C92261">
        <w:rPr>
          <w:rFonts w:ascii="Times New Roman" w:hAnsi="Times New Roman" w:cs="Times New Roman"/>
        </w:rPr>
        <w:t xml:space="preserve"> groundwater </w:t>
      </w:r>
      <w:r w:rsidR="009E65CB">
        <w:rPr>
          <w:rFonts w:ascii="Times New Roman" w:hAnsi="Times New Roman" w:cs="Times New Roman"/>
        </w:rPr>
        <w:t xml:space="preserve">watershed </w:t>
      </w:r>
      <w:r w:rsidR="0074081B">
        <w:rPr>
          <w:rFonts w:ascii="Times New Roman" w:hAnsi="Times New Roman" w:cs="Times New Roman"/>
        </w:rPr>
        <w:t xml:space="preserve">or subbasin </w:t>
      </w:r>
      <w:r w:rsidR="009E65CB">
        <w:rPr>
          <w:rFonts w:ascii="Times New Roman" w:hAnsi="Times New Roman" w:cs="Times New Roman"/>
        </w:rPr>
        <w:t>that</w:t>
      </w:r>
      <w:r w:rsidR="00B413B3">
        <w:rPr>
          <w:rFonts w:ascii="Times New Roman" w:hAnsi="Times New Roman" w:cs="Times New Roman"/>
        </w:rPr>
        <w:t xml:space="preserve"> </w:t>
      </w:r>
      <w:r w:rsidR="009E65CB">
        <w:rPr>
          <w:rFonts w:ascii="Times New Roman" w:hAnsi="Times New Roman" w:cs="Times New Roman"/>
        </w:rPr>
        <w:t xml:space="preserve">provides the </w:t>
      </w:r>
      <w:r w:rsidR="00057CAC">
        <w:rPr>
          <w:rFonts w:ascii="Times New Roman" w:hAnsi="Times New Roman" w:cs="Times New Roman"/>
        </w:rPr>
        <w:t xml:space="preserve">fundamental </w:t>
      </w:r>
      <w:r w:rsidR="006A0FE4">
        <w:rPr>
          <w:rFonts w:ascii="Times New Roman" w:hAnsi="Times New Roman" w:cs="Times New Roman"/>
        </w:rPr>
        <w:t xml:space="preserve">water </w:t>
      </w:r>
      <w:r w:rsidR="009E65CB">
        <w:rPr>
          <w:rFonts w:ascii="Times New Roman" w:hAnsi="Times New Roman" w:cs="Times New Roman"/>
        </w:rPr>
        <w:t>source</w:t>
      </w:r>
      <w:r w:rsidR="00C92261">
        <w:rPr>
          <w:rFonts w:ascii="Times New Roman" w:hAnsi="Times New Roman" w:cs="Times New Roman"/>
        </w:rPr>
        <w:t xml:space="preserve">s </w:t>
      </w:r>
      <w:r w:rsidR="00B413B3">
        <w:rPr>
          <w:rFonts w:ascii="Times New Roman" w:hAnsi="Times New Roman" w:cs="Times New Roman"/>
        </w:rPr>
        <w:t xml:space="preserve">and </w:t>
      </w:r>
      <w:r w:rsidR="0087317A">
        <w:rPr>
          <w:rFonts w:ascii="Times New Roman" w:hAnsi="Times New Roman" w:cs="Times New Roman"/>
        </w:rPr>
        <w:t>uses</w:t>
      </w:r>
      <w:r w:rsidR="00FA2272">
        <w:rPr>
          <w:rFonts w:ascii="Times New Roman" w:hAnsi="Times New Roman" w:cs="Times New Roman"/>
        </w:rPr>
        <w:t>. The ideal arrangement would be County bou</w:t>
      </w:r>
      <w:r w:rsidR="00520AFA">
        <w:rPr>
          <w:rFonts w:ascii="Times New Roman" w:hAnsi="Times New Roman" w:cs="Times New Roman"/>
        </w:rPr>
        <w:t xml:space="preserve">ndaries </w:t>
      </w:r>
      <w:r w:rsidR="00F82C19">
        <w:rPr>
          <w:rFonts w:ascii="Times New Roman" w:hAnsi="Times New Roman" w:cs="Times New Roman"/>
        </w:rPr>
        <w:t xml:space="preserve">because </w:t>
      </w:r>
      <w:r w:rsidR="00305CA9">
        <w:rPr>
          <w:rFonts w:ascii="Times New Roman" w:hAnsi="Times New Roman" w:cs="Times New Roman"/>
        </w:rPr>
        <w:t>they cover</w:t>
      </w:r>
      <w:r w:rsidR="00DD42AE">
        <w:rPr>
          <w:rFonts w:ascii="Times New Roman" w:hAnsi="Times New Roman" w:cs="Times New Roman"/>
        </w:rPr>
        <w:t xml:space="preserve"> all</w:t>
      </w:r>
      <w:r w:rsidR="00305CA9">
        <w:rPr>
          <w:rFonts w:ascii="Times New Roman" w:hAnsi="Times New Roman" w:cs="Times New Roman"/>
        </w:rPr>
        <w:t xml:space="preserve"> the uninco</w:t>
      </w:r>
      <w:r w:rsidR="000135FE">
        <w:rPr>
          <w:rFonts w:ascii="Times New Roman" w:hAnsi="Times New Roman" w:cs="Times New Roman"/>
        </w:rPr>
        <w:t>r</w:t>
      </w:r>
      <w:r w:rsidR="00305CA9">
        <w:rPr>
          <w:rFonts w:ascii="Times New Roman" w:hAnsi="Times New Roman" w:cs="Times New Roman"/>
        </w:rPr>
        <w:t>porated areas</w:t>
      </w:r>
      <w:r w:rsidR="009F1F48">
        <w:rPr>
          <w:rFonts w:ascii="Times New Roman" w:hAnsi="Times New Roman" w:cs="Times New Roman"/>
        </w:rPr>
        <w:t xml:space="preserve"> which can bring in the </w:t>
      </w:r>
      <w:r w:rsidR="00A92BC2">
        <w:rPr>
          <w:rFonts w:ascii="Times New Roman" w:hAnsi="Times New Roman" w:cs="Times New Roman"/>
        </w:rPr>
        <w:t xml:space="preserve">largest scope of potential services </w:t>
      </w:r>
      <w:r w:rsidR="00CB67DA">
        <w:rPr>
          <w:rFonts w:ascii="Times New Roman" w:hAnsi="Times New Roman" w:cs="Times New Roman"/>
        </w:rPr>
        <w:t xml:space="preserve">besides drinking water systems </w:t>
      </w:r>
      <w:r w:rsidR="00A92BC2">
        <w:rPr>
          <w:rFonts w:ascii="Times New Roman" w:hAnsi="Times New Roman" w:cs="Times New Roman"/>
        </w:rPr>
        <w:t xml:space="preserve">(such as </w:t>
      </w:r>
      <w:r w:rsidR="003D67FB">
        <w:rPr>
          <w:rFonts w:ascii="Times New Roman" w:hAnsi="Times New Roman" w:cs="Times New Roman"/>
        </w:rPr>
        <w:t xml:space="preserve">stormwater, flood protection, </w:t>
      </w:r>
      <w:r w:rsidR="00A92BC2">
        <w:rPr>
          <w:rFonts w:ascii="Times New Roman" w:hAnsi="Times New Roman" w:cs="Times New Roman"/>
        </w:rPr>
        <w:t>domestic well</w:t>
      </w:r>
      <w:r w:rsidR="00B845F2">
        <w:rPr>
          <w:rFonts w:ascii="Times New Roman" w:hAnsi="Times New Roman" w:cs="Times New Roman"/>
        </w:rPr>
        <w:t>s</w:t>
      </w:r>
      <w:r w:rsidR="00A92BC2">
        <w:rPr>
          <w:rFonts w:ascii="Times New Roman" w:hAnsi="Times New Roman" w:cs="Times New Roman"/>
        </w:rPr>
        <w:t xml:space="preserve"> and septic tank servicing)</w:t>
      </w:r>
      <w:r w:rsidR="000135FE">
        <w:rPr>
          <w:rFonts w:ascii="Times New Roman" w:hAnsi="Times New Roman" w:cs="Times New Roman"/>
        </w:rPr>
        <w:t xml:space="preserve">. Whether the County </w:t>
      </w:r>
      <w:r w:rsidR="00FD1F2E">
        <w:rPr>
          <w:rFonts w:ascii="Times New Roman" w:hAnsi="Times New Roman" w:cs="Times New Roman"/>
        </w:rPr>
        <w:t xml:space="preserve">Board </w:t>
      </w:r>
      <w:r w:rsidR="000135FE">
        <w:rPr>
          <w:rFonts w:ascii="Times New Roman" w:hAnsi="Times New Roman" w:cs="Times New Roman"/>
        </w:rPr>
        <w:t>leadership themselves participate or not would be a local decision</w:t>
      </w:r>
      <w:r w:rsidR="00D2169D">
        <w:rPr>
          <w:rFonts w:ascii="Times New Roman" w:hAnsi="Times New Roman" w:cs="Times New Roman"/>
        </w:rPr>
        <w:t xml:space="preserve"> (in fact they may choose to divest themselves of </w:t>
      </w:r>
      <w:r w:rsidR="00616075">
        <w:rPr>
          <w:rFonts w:ascii="Times New Roman" w:hAnsi="Times New Roman" w:cs="Times New Roman"/>
        </w:rPr>
        <w:t xml:space="preserve">some of their </w:t>
      </w:r>
      <w:r w:rsidR="00D2169D">
        <w:rPr>
          <w:rFonts w:ascii="Times New Roman" w:hAnsi="Times New Roman" w:cs="Times New Roman"/>
        </w:rPr>
        <w:t xml:space="preserve">current </w:t>
      </w:r>
      <w:r w:rsidR="00CE70EC">
        <w:rPr>
          <w:rFonts w:ascii="Times New Roman" w:hAnsi="Times New Roman" w:cs="Times New Roman"/>
        </w:rPr>
        <w:t xml:space="preserve">related agencies, such as </w:t>
      </w:r>
      <w:r w:rsidR="00892E9A">
        <w:rPr>
          <w:rFonts w:ascii="Times New Roman" w:hAnsi="Times New Roman" w:cs="Times New Roman"/>
        </w:rPr>
        <w:t>“c</w:t>
      </w:r>
      <w:r w:rsidR="00091E37">
        <w:rPr>
          <w:rFonts w:ascii="Times New Roman" w:hAnsi="Times New Roman" w:cs="Times New Roman"/>
        </w:rPr>
        <w:t>ounty service areas</w:t>
      </w:r>
      <w:r w:rsidR="00892E9A">
        <w:rPr>
          <w:rFonts w:ascii="Times New Roman" w:hAnsi="Times New Roman" w:cs="Times New Roman"/>
        </w:rPr>
        <w:t>”</w:t>
      </w:r>
      <w:r w:rsidR="00CE70EC">
        <w:rPr>
          <w:rFonts w:ascii="Times New Roman" w:hAnsi="Times New Roman" w:cs="Times New Roman"/>
        </w:rPr>
        <w:t xml:space="preserve">, as a prudent </w:t>
      </w:r>
      <w:r w:rsidR="002102E6">
        <w:rPr>
          <w:rFonts w:ascii="Times New Roman" w:hAnsi="Times New Roman" w:cs="Times New Roman"/>
        </w:rPr>
        <w:t xml:space="preserve">and </w:t>
      </w:r>
      <w:r w:rsidR="00CE70EC">
        <w:rPr>
          <w:rFonts w:ascii="Times New Roman" w:hAnsi="Times New Roman" w:cs="Times New Roman"/>
        </w:rPr>
        <w:t>more sustainable method for</w:t>
      </w:r>
      <w:r w:rsidR="002102E6">
        <w:rPr>
          <w:rFonts w:ascii="Times New Roman" w:hAnsi="Times New Roman" w:cs="Times New Roman"/>
        </w:rPr>
        <w:t xml:space="preserve"> success of those existing </w:t>
      </w:r>
      <w:r w:rsidR="009D4B2E">
        <w:rPr>
          <w:rFonts w:ascii="Times New Roman" w:hAnsi="Times New Roman" w:cs="Times New Roman"/>
        </w:rPr>
        <w:t>organizations) but</w:t>
      </w:r>
      <w:r w:rsidR="000135FE">
        <w:rPr>
          <w:rFonts w:ascii="Times New Roman" w:hAnsi="Times New Roman" w:cs="Times New Roman"/>
        </w:rPr>
        <w:t xml:space="preserve"> </w:t>
      </w:r>
      <w:r w:rsidR="009A17EA">
        <w:rPr>
          <w:rFonts w:ascii="Times New Roman" w:hAnsi="Times New Roman" w:cs="Times New Roman"/>
        </w:rPr>
        <w:t xml:space="preserve">any new aggregated agency would still benefit from a close association with </w:t>
      </w:r>
      <w:r w:rsidR="00FD1F2E">
        <w:rPr>
          <w:rFonts w:ascii="Times New Roman" w:hAnsi="Times New Roman" w:cs="Times New Roman"/>
        </w:rPr>
        <w:t>related County agencies.</w:t>
      </w:r>
    </w:p>
    <w:p w14:paraId="6BBFCC29" w14:textId="2C59EED3" w:rsidR="003B7D6F" w:rsidRDefault="003B7D6F" w:rsidP="00E741E1">
      <w:pPr>
        <w:pStyle w:val="ListParagraph"/>
        <w:spacing w:after="200"/>
        <w:contextualSpacing w:val="0"/>
        <w:jc w:val="both"/>
        <w:rPr>
          <w:rFonts w:ascii="Times New Roman" w:hAnsi="Times New Roman" w:cs="Times New Roman"/>
        </w:rPr>
      </w:pPr>
      <w:bookmarkStart w:id="0" w:name="_Hlk167653324"/>
      <w:r w:rsidRPr="002F6A11">
        <w:rPr>
          <w:rFonts w:ascii="Times New Roman" w:hAnsi="Times New Roman" w:cs="Times New Roman"/>
        </w:rPr>
        <w:t xml:space="preserve">Development of a path forward for </w:t>
      </w:r>
      <w:r>
        <w:rPr>
          <w:rFonts w:ascii="Times New Roman" w:hAnsi="Times New Roman" w:cs="Times New Roman"/>
        </w:rPr>
        <w:t xml:space="preserve">providing DACs and Small Communities </w:t>
      </w:r>
      <w:r w:rsidR="00241D43">
        <w:rPr>
          <w:rFonts w:ascii="Times New Roman" w:hAnsi="Times New Roman" w:cs="Times New Roman"/>
        </w:rPr>
        <w:t xml:space="preserve">at the State level </w:t>
      </w:r>
      <w:r>
        <w:rPr>
          <w:rFonts w:ascii="Times New Roman" w:hAnsi="Times New Roman" w:cs="Times New Roman"/>
        </w:rPr>
        <w:t xml:space="preserve">with an assured and sustainable drinking water supply </w:t>
      </w:r>
      <w:r w:rsidR="001C3688">
        <w:rPr>
          <w:rFonts w:ascii="Times New Roman" w:hAnsi="Times New Roman" w:cs="Times New Roman"/>
        </w:rPr>
        <w:t>primarily</w:t>
      </w:r>
      <w:r w:rsidR="00A609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lies with the </w:t>
      </w:r>
      <w:r w:rsidR="00DE2093">
        <w:rPr>
          <w:rFonts w:ascii="Times New Roman" w:hAnsi="Times New Roman" w:cs="Times New Roman"/>
        </w:rPr>
        <w:t>State Water</w:t>
      </w:r>
      <w:r w:rsidR="00B30826">
        <w:rPr>
          <w:rFonts w:ascii="Times New Roman" w:hAnsi="Times New Roman" w:cs="Times New Roman"/>
        </w:rPr>
        <w:t xml:space="preserve"> Resources Control Board</w:t>
      </w:r>
      <w:r w:rsidR="00B55BDC">
        <w:rPr>
          <w:rFonts w:ascii="Times New Roman" w:hAnsi="Times New Roman" w:cs="Times New Roman"/>
        </w:rPr>
        <w:t xml:space="preserve"> (Waterboard) </w:t>
      </w:r>
      <w:r w:rsidR="0018033F">
        <w:rPr>
          <w:rFonts w:ascii="Times New Roman" w:hAnsi="Times New Roman" w:cs="Times New Roman"/>
        </w:rPr>
        <w:t>Division</w:t>
      </w:r>
      <w:r>
        <w:rPr>
          <w:rFonts w:ascii="Times New Roman" w:hAnsi="Times New Roman" w:cs="Times New Roman"/>
        </w:rPr>
        <w:t>s</w:t>
      </w:r>
      <w:r w:rsidR="0018033F">
        <w:rPr>
          <w:rFonts w:ascii="Times New Roman" w:hAnsi="Times New Roman" w:cs="Times New Roman"/>
        </w:rPr>
        <w:t xml:space="preserve"> of Drinking Water</w:t>
      </w:r>
      <w:r w:rsidR="00B55BDC">
        <w:rPr>
          <w:rFonts w:ascii="Times New Roman" w:hAnsi="Times New Roman" w:cs="Times New Roman"/>
        </w:rPr>
        <w:t xml:space="preserve"> (DDW)</w:t>
      </w:r>
      <w:r w:rsidR="0018033F">
        <w:rPr>
          <w:rFonts w:ascii="Times New Roman" w:hAnsi="Times New Roman" w:cs="Times New Roman"/>
        </w:rPr>
        <w:t xml:space="preserve"> and Finance</w:t>
      </w:r>
      <w:r w:rsidR="00B308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working with stakeholders and allied agencies, particularly the Department of Water Resources (DWR) and, in rural areas, </w:t>
      </w:r>
      <w:r w:rsidR="006C306B">
        <w:rPr>
          <w:rFonts w:ascii="Times New Roman" w:hAnsi="Times New Roman" w:cs="Times New Roman"/>
        </w:rPr>
        <w:t xml:space="preserve">perhaps </w:t>
      </w:r>
      <w:r>
        <w:rPr>
          <w:rFonts w:ascii="Times New Roman" w:hAnsi="Times New Roman" w:cs="Times New Roman"/>
        </w:rPr>
        <w:t xml:space="preserve">the Department of Food and Agriculture (CDFA).  Since the </w:t>
      </w:r>
      <w:r w:rsidR="00A92592">
        <w:rPr>
          <w:rFonts w:ascii="Times New Roman" w:hAnsi="Times New Roman" w:cs="Times New Roman"/>
        </w:rPr>
        <w:t>s</w:t>
      </w:r>
      <w:r w:rsidRPr="00DB0BC6">
        <w:rPr>
          <w:rFonts w:ascii="Times New Roman" w:hAnsi="Times New Roman" w:cs="Times New Roman"/>
          <w:b/>
          <w:bCs/>
          <w:i/>
          <w:iCs/>
        </w:rPr>
        <w:t>cale</w:t>
      </w:r>
      <w:r>
        <w:rPr>
          <w:rFonts w:ascii="Times New Roman" w:hAnsi="Times New Roman" w:cs="Times New Roman"/>
        </w:rPr>
        <w:t xml:space="preserve"> issue may be best addressed </w:t>
      </w:r>
      <w:r w:rsidR="003C480B">
        <w:rPr>
          <w:rFonts w:ascii="Times New Roman" w:hAnsi="Times New Roman" w:cs="Times New Roman"/>
        </w:rPr>
        <w:t xml:space="preserve">regionally, </w:t>
      </w:r>
      <w:r w:rsidR="00E55CD3">
        <w:rPr>
          <w:rFonts w:ascii="Times New Roman" w:hAnsi="Times New Roman" w:cs="Times New Roman"/>
        </w:rPr>
        <w:t>b</w:t>
      </w:r>
      <w:r w:rsidR="004D6602">
        <w:rPr>
          <w:rFonts w:ascii="Times New Roman" w:hAnsi="Times New Roman" w:cs="Times New Roman"/>
        </w:rPr>
        <w:t xml:space="preserve">esides </w:t>
      </w:r>
      <w:r>
        <w:rPr>
          <w:rFonts w:ascii="Times New Roman" w:hAnsi="Times New Roman" w:cs="Times New Roman"/>
        </w:rPr>
        <w:t>drinking water,</w:t>
      </w:r>
      <w:r w:rsidR="003C480B">
        <w:rPr>
          <w:rFonts w:ascii="Times New Roman" w:hAnsi="Times New Roman" w:cs="Times New Roman"/>
        </w:rPr>
        <w:t xml:space="preserve"> </w:t>
      </w:r>
      <w:r w:rsidR="00BE3D2D">
        <w:rPr>
          <w:rFonts w:ascii="Times New Roman" w:hAnsi="Times New Roman" w:cs="Times New Roman"/>
        </w:rPr>
        <w:t xml:space="preserve">a regional </w:t>
      </w:r>
      <w:r w:rsidR="003C480B">
        <w:rPr>
          <w:rFonts w:ascii="Times New Roman" w:hAnsi="Times New Roman" w:cs="Times New Roman"/>
        </w:rPr>
        <w:t>entity could address</w:t>
      </w:r>
      <w:r w:rsidR="004D6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wastewater treatment, stormwater management,</w:t>
      </w:r>
      <w:r w:rsidR="00466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flood protection and </w:t>
      </w:r>
      <w:r w:rsidR="00466C3A">
        <w:rPr>
          <w:rFonts w:ascii="Times New Roman" w:hAnsi="Times New Roman" w:cs="Times New Roman"/>
        </w:rPr>
        <w:t xml:space="preserve">where feasible, </w:t>
      </w:r>
      <w:r>
        <w:rPr>
          <w:rFonts w:ascii="Times New Roman" w:hAnsi="Times New Roman" w:cs="Times New Roman"/>
        </w:rPr>
        <w:t>water recycling</w:t>
      </w:r>
      <w:r w:rsidR="002D3AE0">
        <w:rPr>
          <w:rFonts w:ascii="Times New Roman" w:hAnsi="Times New Roman" w:cs="Times New Roman"/>
        </w:rPr>
        <w:t>. T</w:t>
      </w:r>
      <w:r w:rsidR="00785EB5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lead governmental entities for developing and implementing policy to address th</w:t>
      </w:r>
      <w:r w:rsidR="0031363D">
        <w:rPr>
          <w:rFonts w:ascii="Times New Roman" w:hAnsi="Times New Roman" w:cs="Times New Roman"/>
        </w:rPr>
        <w:t>ese additional</w:t>
      </w:r>
      <w:r>
        <w:rPr>
          <w:rFonts w:ascii="Times New Roman" w:hAnsi="Times New Roman" w:cs="Times New Roman"/>
        </w:rPr>
        <w:t xml:space="preserve"> issue</w:t>
      </w:r>
      <w:r w:rsidR="0031363D">
        <w:rPr>
          <w:rFonts w:ascii="Times New Roman" w:hAnsi="Times New Roman" w:cs="Times New Roman"/>
        </w:rPr>
        <w:t>s</w:t>
      </w:r>
      <w:r w:rsidR="00180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could be a joint effort by the </w:t>
      </w:r>
      <w:r w:rsidR="009610CF">
        <w:rPr>
          <w:rFonts w:ascii="Times New Roman" w:hAnsi="Times New Roman" w:cs="Times New Roman"/>
        </w:rPr>
        <w:t>Waterboard</w:t>
      </w:r>
      <w:r w:rsidR="000706B5">
        <w:rPr>
          <w:rFonts w:ascii="Times New Roman" w:hAnsi="Times New Roman" w:cs="Times New Roman"/>
        </w:rPr>
        <w:t>,</w:t>
      </w:r>
      <w:r w:rsidR="009610CF">
        <w:rPr>
          <w:rFonts w:ascii="Times New Roman" w:hAnsi="Times New Roman" w:cs="Times New Roman"/>
        </w:rPr>
        <w:t xml:space="preserve"> Regional Water Quality</w:t>
      </w:r>
      <w:r>
        <w:rPr>
          <w:rFonts w:ascii="Times New Roman" w:hAnsi="Times New Roman" w:cs="Times New Roman"/>
        </w:rPr>
        <w:t xml:space="preserve"> Control Boards (RW</w:t>
      </w:r>
      <w:r w:rsidR="001A1688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CB), and D</w:t>
      </w:r>
      <w:r w:rsidR="001A1688">
        <w:rPr>
          <w:rFonts w:ascii="Times New Roman" w:hAnsi="Times New Roman" w:cs="Times New Roman"/>
        </w:rPr>
        <w:t>WR</w:t>
      </w:r>
      <w:r>
        <w:rPr>
          <w:rFonts w:ascii="Times New Roman" w:hAnsi="Times New Roman" w:cs="Times New Roman"/>
        </w:rPr>
        <w:t xml:space="preserve">. </w:t>
      </w:r>
      <w:bookmarkEnd w:id="0"/>
      <w:r w:rsidR="00401EE6">
        <w:rPr>
          <w:rFonts w:ascii="Times New Roman" w:hAnsi="Times New Roman" w:cs="Times New Roman"/>
        </w:rPr>
        <w:t>As an e</w:t>
      </w:r>
      <w:r>
        <w:rPr>
          <w:rFonts w:ascii="Times New Roman" w:hAnsi="Times New Roman" w:cs="Times New Roman"/>
        </w:rPr>
        <w:t>xample of a</w:t>
      </w:r>
      <w:r w:rsidR="00945B97">
        <w:rPr>
          <w:rFonts w:ascii="Times New Roman" w:hAnsi="Times New Roman" w:cs="Times New Roman"/>
        </w:rPr>
        <w:t xml:space="preserve"> </w:t>
      </w:r>
      <w:r w:rsidR="00ED2413">
        <w:rPr>
          <w:rFonts w:ascii="Times New Roman" w:hAnsi="Times New Roman" w:cs="Times New Roman"/>
        </w:rPr>
        <w:t xml:space="preserve">fully </w:t>
      </w:r>
      <w:r w:rsidR="00945B97">
        <w:rPr>
          <w:rFonts w:ascii="Times New Roman" w:hAnsi="Times New Roman" w:cs="Times New Roman"/>
        </w:rPr>
        <w:t>joint</w:t>
      </w:r>
      <w:r>
        <w:rPr>
          <w:rFonts w:ascii="Times New Roman" w:hAnsi="Times New Roman" w:cs="Times New Roman"/>
        </w:rPr>
        <w:t xml:space="preserve"> local approach for addressing San Joaquin Valley and Los Angeles County DAC and </w:t>
      </w:r>
      <w:r w:rsidR="003547C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mall </w:t>
      </w:r>
      <w:r w:rsidR="003547C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ystem water issues, the leads could be </w:t>
      </w:r>
      <w:r w:rsidR="005800E8">
        <w:rPr>
          <w:rFonts w:ascii="Times New Roman" w:hAnsi="Times New Roman" w:cs="Times New Roman"/>
        </w:rPr>
        <w:t>the Waterboard</w:t>
      </w:r>
      <w:r w:rsidR="005C666C">
        <w:rPr>
          <w:rFonts w:ascii="Times New Roman" w:hAnsi="Times New Roman" w:cs="Times New Roman"/>
        </w:rPr>
        <w:t xml:space="preserve"> </w:t>
      </w:r>
      <w:proofErr w:type="gramStart"/>
      <w:r w:rsidR="005C666C">
        <w:rPr>
          <w:rFonts w:ascii="Times New Roman" w:hAnsi="Times New Roman" w:cs="Times New Roman"/>
        </w:rPr>
        <w:t>D</w:t>
      </w:r>
      <w:r w:rsidR="004C3D6B">
        <w:rPr>
          <w:rFonts w:ascii="Times New Roman" w:hAnsi="Times New Roman" w:cs="Times New Roman"/>
        </w:rPr>
        <w:t>DW</w:t>
      </w:r>
      <w:r w:rsidR="00E25032">
        <w:rPr>
          <w:rFonts w:ascii="Times New Roman" w:hAnsi="Times New Roman" w:cs="Times New Roman"/>
        </w:rPr>
        <w:t xml:space="preserve"> </w:t>
      </w:r>
      <w:r w:rsidR="005C666C">
        <w:rPr>
          <w:rFonts w:ascii="Times New Roman" w:hAnsi="Times New Roman" w:cs="Times New Roman"/>
        </w:rPr>
        <w:t xml:space="preserve"> and</w:t>
      </w:r>
      <w:proofErr w:type="gramEnd"/>
      <w:r w:rsidR="005C666C">
        <w:rPr>
          <w:rFonts w:ascii="Times New Roman" w:hAnsi="Times New Roman" w:cs="Times New Roman"/>
        </w:rPr>
        <w:t xml:space="preserve"> Finance</w:t>
      </w:r>
      <w:r w:rsidR="00E25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 Central Valley or Los Angeles RW</w:t>
      </w:r>
      <w:r w:rsidR="001A1688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CB</w:t>
      </w:r>
      <w:r w:rsidR="003547CC">
        <w:rPr>
          <w:rFonts w:ascii="Times New Roman" w:hAnsi="Times New Roman" w:cs="Times New Roman"/>
        </w:rPr>
        <w:t xml:space="preserve"> along with the </w:t>
      </w:r>
      <w:r w:rsidR="00E67336">
        <w:rPr>
          <w:rFonts w:ascii="Times New Roman" w:hAnsi="Times New Roman" w:cs="Times New Roman"/>
        </w:rPr>
        <w:t xml:space="preserve">local </w:t>
      </w:r>
      <w:r w:rsidR="00CD4E22">
        <w:rPr>
          <w:rFonts w:ascii="Times New Roman" w:hAnsi="Times New Roman" w:cs="Times New Roman"/>
        </w:rPr>
        <w:t xml:space="preserve">the </w:t>
      </w:r>
      <w:r w:rsidR="00855829">
        <w:rPr>
          <w:rFonts w:ascii="Times New Roman" w:hAnsi="Times New Roman" w:cs="Times New Roman"/>
        </w:rPr>
        <w:t>County</w:t>
      </w:r>
      <w:r w:rsidR="00ED7F01">
        <w:rPr>
          <w:rFonts w:ascii="Times New Roman" w:hAnsi="Times New Roman" w:cs="Times New Roman"/>
        </w:rPr>
        <w:t xml:space="preserve"> Boards of Supervisors and</w:t>
      </w:r>
      <w:r w:rsidR="00855829">
        <w:rPr>
          <w:rFonts w:ascii="Times New Roman" w:hAnsi="Times New Roman" w:cs="Times New Roman"/>
        </w:rPr>
        <w:t xml:space="preserve"> </w:t>
      </w:r>
      <w:r w:rsidR="000A0AE4">
        <w:rPr>
          <w:rFonts w:ascii="Times New Roman" w:hAnsi="Times New Roman" w:cs="Times New Roman"/>
        </w:rPr>
        <w:t>C</w:t>
      </w:r>
      <w:r w:rsidR="00D02692">
        <w:rPr>
          <w:rFonts w:ascii="Times New Roman" w:hAnsi="Times New Roman" w:cs="Times New Roman"/>
        </w:rPr>
        <w:t xml:space="preserve">ounty </w:t>
      </w:r>
      <w:r w:rsidR="00E67336">
        <w:rPr>
          <w:rFonts w:ascii="Times New Roman" w:hAnsi="Times New Roman" w:cs="Times New Roman"/>
        </w:rPr>
        <w:t>departments of public</w:t>
      </w:r>
      <w:r w:rsidR="007B77E3">
        <w:rPr>
          <w:rFonts w:ascii="Times New Roman" w:hAnsi="Times New Roman" w:cs="Times New Roman"/>
        </w:rPr>
        <w:t xml:space="preserve"> or environmental</w:t>
      </w:r>
      <w:r w:rsidR="00E67336">
        <w:rPr>
          <w:rFonts w:ascii="Times New Roman" w:hAnsi="Times New Roman" w:cs="Times New Roman"/>
        </w:rPr>
        <w:t xml:space="preserve"> health and water resource manag</w:t>
      </w:r>
      <w:r w:rsidR="00855829">
        <w:rPr>
          <w:rFonts w:ascii="Times New Roman" w:hAnsi="Times New Roman" w:cs="Times New Roman"/>
        </w:rPr>
        <w:t>e</w:t>
      </w:r>
      <w:r w:rsidR="00E67336">
        <w:rPr>
          <w:rFonts w:ascii="Times New Roman" w:hAnsi="Times New Roman" w:cs="Times New Roman"/>
        </w:rPr>
        <w:t>ment</w:t>
      </w:r>
      <w:r>
        <w:rPr>
          <w:rFonts w:ascii="Times New Roman" w:hAnsi="Times New Roman" w:cs="Times New Roman"/>
        </w:rPr>
        <w:t xml:space="preserve">.  </w:t>
      </w:r>
    </w:p>
    <w:p w14:paraId="38083D6D" w14:textId="708CD945" w:rsidR="003B7D6F" w:rsidRDefault="001218A6" w:rsidP="003715A1">
      <w:pPr>
        <w:pStyle w:val="ListParagraph"/>
        <w:spacing w:after="20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c</w:t>
      </w:r>
      <w:r w:rsidR="003B7D6F">
        <w:rPr>
          <w:rFonts w:ascii="Times New Roman" w:hAnsi="Times New Roman" w:cs="Times New Roman"/>
        </w:rPr>
        <w:t xml:space="preserve">entral to policy development </w:t>
      </w:r>
      <w:r w:rsidR="007C0143">
        <w:rPr>
          <w:rFonts w:ascii="Times New Roman" w:hAnsi="Times New Roman" w:cs="Times New Roman"/>
        </w:rPr>
        <w:t xml:space="preserve">for sustainability </w:t>
      </w:r>
      <w:r w:rsidR="003B7D6F">
        <w:rPr>
          <w:rFonts w:ascii="Times New Roman" w:hAnsi="Times New Roman" w:cs="Times New Roman"/>
        </w:rPr>
        <w:t xml:space="preserve">would be whether a voluntary development of shared </w:t>
      </w:r>
      <w:r w:rsidR="003D5C86">
        <w:rPr>
          <w:rFonts w:ascii="Times New Roman" w:hAnsi="Times New Roman" w:cs="Times New Roman"/>
        </w:rPr>
        <w:t xml:space="preserve">water </w:t>
      </w:r>
      <w:r w:rsidR="003B7D6F">
        <w:rPr>
          <w:rFonts w:ascii="Times New Roman" w:hAnsi="Times New Roman" w:cs="Times New Roman"/>
        </w:rPr>
        <w:t xml:space="preserve">resources by DACs and </w:t>
      </w:r>
      <w:r w:rsidR="00FF4FAC">
        <w:rPr>
          <w:rFonts w:ascii="Times New Roman" w:hAnsi="Times New Roman" w:cs="Times New Roman"/>
        </w:rPr>
        <w:t>s</w:t>
      </w:r>
      <w:r w:rsidR="003B7D6F">
        <w:rPr>
          <w:rFonts w:ascii="Times New Roman" w:hAnsi="Times New Roman" w:cs="Times New Roman"/>
        </w:rPr>
        <w:t xml:space="preserve">mall </w:t>
      </w:r>
      <w:r w:rsidR="00FF4FAC">
        <w:rPr>
          <w:rFonts w:ascii="Times New Roman" w:hAnsi="Times New Roman" w:cs="Times New Roman"/>
        </w:rPr>
        <w:t>s</w:t>
      </w:r>
      <w:r w:rsidR="003B7D6F">
        <w:rPr>
          <w:rFonts w:ascii="Times New Roman" w:hAnsi="Times New Roman" w:cs="Times New Roman"/>
        </w:rPr>
        <w:t xml:space="preserve">ystems within specific areas of need should be </w:t>
      </w:r>
      <w:r w:rsidR="00C36C37">
        <w:rPr>
          <w:rFonts w:ascii="Times New Roman" w:hAnsi="Times New Roman" w:cs="Times New Roman"/>
        </w:rPr>
        <w:t xml:space="preserve">an early </w:t>
      </w:r>
      <w:r w:rsidR="003B7D6F">
        <w:rPr>
          <w:rFonts w:ascii="Times New Roman" w:hAnsi="Times New Roman" w:cs="Times New Roman"/>
        </w:rPr>
        <w:t>focus, or should the focus be on the development of wholesale water suppliers</w:t>
      </w:r>
      <w:r w:rsidR="00B15A29">
        <w:rPr>
          <w:rFonts w:ascii="Times New Roman" w:hAnsi="Times New Roman" w:cs="Times New Roman"/>
        </w:rPr>
        <w:t xml:space="preserve"> and management</w:t>
      </w:r>
      <w:r w:rsidR="003B7D6F">
        <w:rPr>
          <w:rFonts w:ascii="Times New Roman" w:hAnsi="Times New Roman" w:cs="Times New Roman"/>
        </w:rPr>
        <w:t xml:space="preserve"> within areas of DAC and </w:t>
      </w:r>
      <w:r w:rsidR="001D0C9A">
        <w:rPr>
          <w:rFonts w:ascii="Times New Roman" w:hAnsi="Times New Roman" w:cs="Times New Roman"/>
        </w:rPr>
        <w:t>s</w:t>
      </w:r>
      <w:r w:rsidR="003B7D6F">
        <w:rPr>
          <w:rFonts w:ascii="Times New Roman" w:hAnsi="Times New Roman" w:cs="Times New Roman"/>
        </w:rPr>
        <w:t xml:space="preserve">mall </w:t>
      </w:r>
      <w:r w:rsidR="001D0C9A">
        <w:rPr>
          <w:rFonts w:ascii="Times New Roman" w:hAnsi="Times New Roman" w:cs="Times New Roman"/>
        </w:rPr>
        <w:t>s</w:t>
      </w:r>
      <w:r w:rsidR="003B7D6F">
        <w:rPr>
          <w:rFonts w:ascii="Times New Roman" w:hAnsi="Times New Roman" w:cs="Times New Roman"/>
        </w:rPr>
        <w:t xml:space="preserve">ystem drinking water needs together with a </w:t>
      </w:r>
      <w:r>
        <w:rPr>
          <w:rFonts w:ascii="Times New Roman" w:hAnsi="Times New Roman" w:cs="Times New Roman"/>
        </w:rPr>
        <w:t xml:space="preserve">much more robust integration with regional water source suppliers.  This conversation needs a facilitated </w:t>
      </w:r>
      <w:r>
        <w:rPr>
          <w:rFonts w:ascii="Times New Roman" w:hAnsi="Times New Roman" w:cs="Times New Roman"/>
        </w:rPr>
        <w:lastRenderedPageBreak/>
        <w:t xml:space="preserve">approach and should not </w:t>
      </w:r>
      <w:r w:rsidR="00406752">
        <w:rPr>
          <w:rFonts w:ascii="Times New Roman" w:hAnsi="Times New Roman" w:cs="Times New Roman"/>
        </w:rPr>
        <w:t>interrupt or alter any aggregation efforts but must be part of the strategic</w:t>
      </w:r>
      <w:r w:rsidR="008E5857">
        <w:rPr>
          <w:rFonts w:ascii="Times New Roman" w:hAnsi="Times New Roman" w:cs="Times New Roman"/>
        </w:rPr>
        <w:t xml:space="preserve"> regional water management discussio</w:t>
      </w:r>
      <w:r w:rsidR="0006042E">
        <w:rPr>
          <w:rFonts w:ascii="Times New Roman" w:hAnsi="Times New Roman" w:cs="Times New Roman"/>
        </w:rPr>
        <w:t xml:space="preserve">ns. </w:t>
      </w:r>
    </w:p>
    <w:p w14:paraId="63F22F90" w14:textId="75020D13" w:rsidR="002321F4" w:rsidRPr="00EC041F" w:rsidRDefault="002321F4" w:rsidP="00DF212E">
      <w:pPr>
        <w:pStyle w:val="ListParagraph"/>
        <w:spacing w:after="20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</w:t>
      </w:r>
      <w:r w:rsidR="00C139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inherent and mentioned frequently</w:t>
      </w:r>
      <w:r w:rsidR="00FA25CA">
        <w:rPr>
          <w:rFonts w:ascii="Times New Roman" w:hAnsi="Times New Roman" w:cs="Times New Roman"/>
        </w:rPr>
        <w:t xml:space="preserve"> herein is the need for external funding sources. Existing State and federal funding </w:t>
      </w:r>
      <w:r w:rsidR="00C139F2">
        <w:rPr>
          <w:rFonts w:ascii="Times New Roman" w:hAnsi="Times New Roman" w:cs="Times New Roman"/>
        </w:rPr>
        <w:t>have</w:t>
      </w:r>
      <w:r w:rsidR="00FA25CA">
        <w:rPr>
          <w:rFonts w:ascii="Times New Roman" w:hAnsi="Times New Roman" w:cs="Times New Roman"/>
        </w:rPr>
        <w:t xml:space="preserve"> been used for triage and some </w:t>
      </w:r>
      <w:r w:rsidR="00BB6A4D">
        <w:rPr>
          <w:rFonts w:ascii="Times New Roman" w:hAnsi="Times New Roman" w:cs="Times New Roman"/>
        </w:rPr>
        <w:t xml:space="preserve">more long-term utility </w:t>
      </w:r>
      <w:r w:rsidR="00852D9D">
        <w:rPr>
          <w:rFonts w:ascii="Times New Roman" w:hAnsi="Times New Roman" w:cs="Times New Roman"/>
        </w:rPr>
        <w:t>improvements,</w:t>
      </w:r>
      <w:r w:rsidR="00BB6A4D">
        <w:rPr>
          <w:rFonts w:ascii="Times New Roman" w:hAnsi="Times New Roman" w:cs="Times New Roman"/>
        </w:rPr>
        <w:t xml:space="preserve"> but the shortfall has still been staggering</w:t>
      </w:r>
      <w:r w:rsidR="00FF4CCD">
        <w:rPr>
          <w:rStyle w:val="FootnoteReference"/>
          <w:rFonts w:ascii="Times New Roman" w:hAnsi="Times New Roman" w:cs="Times New Roman"/>
        </w:rPr>
        <w:footnoteReference w:id="19"/>
      </w:r>
      <w:r w:rsidR="00BB6A4D">
        <w:rPr>
          <w:rFonts w:ascii="Times New Roman" w:hAnsi="Times New Roman" w:cs="Times New Roman"/>
        </w:rPr>
        <w:t xml:space="preserve">. While the concept </w:t>
      </w:r>
      <w:r w:rsidR="00B8032D">
        <w:rPr>
          <w:rFonts w:ascii="Times New Roman" w:hAnsi="Times New Roman" w:cs="Times New Roman"/>
        </w:rPr>
        <w:t>embedded</w:t>
      </w:r>
      <w:r w:rsidR="004C4FAA">
        <w:rPr>
          <w:rFonts w:ascii="Times New Roman" w:hAnsi="Times New Roman" w:cs="Times New Roman"/>
        </w:rPr>
        <w:t xml:space="preserve"> in this re-organization proposal is for self-sustaining funding, startup will still be a challenge. </w:t>
      </w:r>
      <w:r w:rsidR="00143220">
        <w:rPr>
          <w:rFonts w:ascii="Times New Roman" w:hAnsi="Times New Roman" w:cs="Times New Roman"/>
        </w:rPr>
        <w:t xml:space="preserve">There have been past </w:t>
      </w:r>
      <w:r w:rsidR="00C5428E">
        <w:rPr>
          <w:rFonts w:ascii="Times New Roman" w:hAnsi="Times New Roman" w:cs="Times New Roman"/>
        </w:rPr>
        <w:t xml:space="preserve">“bond” funds available and federal investments </w:t>
      </w:r>
      <w:r w:rsidR="00FB1CFF">
        <w:rPr>
          <w:rFonts w:ascii="Times New Roman" w:hAnsi="Times New Roman" w:cs="Times New Roman"/>
        </w:rPr>
        <w:t xml:space="preserve">with match requirements. Coordinated bundling of these opportunities will be </w:t>
      </w:r>
      <w:r w:rsidR="00170149">
        <w:rPr>
          <w:rFonts w:ascii="Times New Roman" w:hAnsi="Times New Roman" w:cs="Times New Roman"/>
        </w:rPr>
        <w:t xml:space="preserve">important potential future sources for this effort. </w:t>
      </w:r>
      <w:r w:rsidR="00C851FC">
        <w:rPr>
          <w:rFonts w:ascii="Times New Roman" w:hAnsi="Times New Roman" w:cs="Times New Roman"/>
        </w:rPr>
        <w:t xml:space="preserve">However, </w:t>
      </w:r>
      <w:r w:rsidR="00B8032D">
        <w:rPr>
          <w:rFonts w:ascii="Times New Roman" w:hAnsi="Times New Roman" w:cs="Times New Roman"/>
        </w:rPr>
        <w:t>to</w:t>
      </w:r>
      <w:r w:rsidR="00C851FC">
        <w:rPr>
          <w:rFonts w:ascii="Times New Roman" w:hAnsi="Times New Roman" w:cs="Times New Roman"/>
        </w:rPr>
        <w:t xml:space="preserve"> </w:t>
      </w:r>
      <w:r w:rsidR="004342BD">
        <w:rPr>
          <w:rFonts w:ascii="Times New Roman" w:hAnsi="Times New Roman" w:cs="Times New Roman"/>
        </w:rPr>
        <w:t>encourage</w:t>
      </w:r>
      <w:r w:rsidR="00667556">
        <w:rPr>
          <w:rFonts w:ascii="Times New Roman" w:hAnsi="Times New Roman" w:cs="Times New Roman"/>
        </w:rPr>
        <w:t xml:space="preserve"> any </w:t>
      </w:r>
      <w:r w:rsidR="00C851FC">
        <w:rPr>
          <w:rFonts w:ascii="Times New Roman" w:hAnsi="Times New Roman" w:cs="Times New Roman"/>
        </w:rPr>
        <w:t>aggregat</w:t>
      </w:r>
      <w:r w:rsidR="00F84E65">
        <w:rPr>
          <w:rFonts w:ascii="Times New Roman" w:hAnsi="Times New Roman" w:cs="Times New Roman"/>
        </w:rPr>
        <w:t xml:space="preserve">ed institutional </w:t>
      </w:r>
      <w:r w:rsidR="002B16C3">
        <w:rPr>
          <w:rFonts w:ascii="Times New Roman" w:hAnsi="Times New Roman" w:cs="Times New Roman"/>
        </w:rPr>
        <w:t>strategy,</w:t>
      </w:r>
      <w:r w:rsidR="00F84E65">
        <w:rPr>
          <w:rFonts w:ascii="Times New Roman" w:hAnsi="Times New Roman" w:cs="Times New Roman"/>
        </w:rPr>
        <w:t xml:space="preserve"> it would be crucial to incentivize such aggregation with preferential funding over </w:t>
      </w:r>
      <w:r w:rsidR="001525CD">
        <w:rPr>
          <w:rFonts w:ascii="Times New Roman" w:hAnsi="Times New Roman" w:cs="Times New Roman"/>
        </w:rPr>
        <w:t>individual system</w:t>
      </w:r>
      <w:r w:rsidR="00A22CC3">
        <w:rPr>
          <w:rFonts w:ascii="Times New Roman" w:hAnsi="Times New Roman" w:cs="Times New Roman"/>
        </w:rPr>
        <w:t xml:space="preserve"> investments except for unanticipated true catastrophic failures.</w:t>
      </w:r>
      <w:r w:rsidR="002D6046">
        <w:rPr>
          <w:rFonts w:ascii="Times New Roman" w:hAnsi="Times New Roman" w:cs="Times New Roman"/>
        </w:rPr>
        <w:t xml:space="preserve"> In other words, </w:t>
      </w:r>
      <w:r w:rsidR="002842BB">
        <w:rPr>
          <w:rFonts w:ascii="Times New Roman" w:hAnsi="Times New Roman" w:cs="Times New Roman"/>
        </w:rPr>
        <w:t xml:space="preserve">since </w:t>
      </w:r>
      <w:r w:rsidR="002D6046">
        <w:rPr>
          <w:rFonts w:ascii="Times New Roman" w:hAnsi="Times New Roman" w:cs="Times New Roman"/>
        </w:rPr>
        <w:t xml:space="preserve">the aggregated entity </w:t>
      </w:r>
      <w:r w:rsidR="002842BB">
        <w:rPr>
          <w:rFonts w:ascii="Times New Roman" w:hAnsi="Times New Roman" w:cs="Times New Roman"/>
        </w:rPr>
        <w:t xml:space="preserve">lets you </w:t>
      </w:r>
      <w:r w:rsidR="007E7546">
        <w:rPr>
          <w:rFonts w:ascii="Times New Roman" w:hAnsi="Times New Roman" w:cs="Times New Roman"/>
        </w:rPr>
        <w:t>keep</w:t>
      </w:r>
      <w:r w:rsidR="002842BB">
        <w:rPr>
          <w:rFonts w:ascii="Times New Roman" w:hAnsi="Times New Roman" w:cs="Times New Roman"/>
        </w:rPr>
        <w:t xml:space="preserve"> </w:t>
      </w:r>
      <w:r w:rsidR="002D6046">
        <w:rPr>
          <w:rFonts w:ascii="Times New Roman" w:hAnsi="Times New Roman" w:cs="Times New Roman"/>
        </w:rPr>
        <w:t>your system under your control</w:t>
      </w:r>
      <w:r w:rsidR="002842BB">
        <w:rPr>
          <w:rFonts w:ascii="Times New Roman" w:hAnsi="Times New Roman" w:cs="Times New Roman"/>
        </w:rPr>
        <w:t xml:space="preserve"> </w:t>
      </w:r>
      <w:r w:rsidR="00AD34F2">
        <w:rPr>
          <w:rFonts w:ascii="Times New Roman" w:hAnsi="Times New Roman" w:cs="Times New Roman"/>
        </w:rPr>
        <w:t>and provides compliance with all requirements</w:t>
      </w:r>
      <w:r w:rsidR="00A830BF">
        <w:rPr>
          <w:rFonts w:ascii="Times New Roman" w:hAnsi="Times New Roman" w:cs="Times New Roman"/>
        </w:rPr>
        <w:t>, including fiduciary requirements</w:t>
      </w:r>
      <w:r w:rsidR="002D6046">
        <w:rPr>
          <w:rFonts w:ascii="Times New Roman" w:hAnsi="Times New Roman" w:cs="Times New Roman"/>
        </w:rPr>
        <w:t>,</w:t>
      </w:r>
      <w:r w:rsidR="00936B58">
        <w:rPr>
          <w:rFonts w:ascii="Times New Roman" w:hAnsi="Times New Roman" w:cs="Times New Roman"/>
        </w:rPr>
        <w:t xml:space="preserve"> </w:t>
      </w:r>
      <w:r w:rsidR="00C81148">
        <w:rPr>
          <w:rFonts w:ascii="Times New Roman" w:hAnsi="Times New Roman" w:cs="Times New Roman"/>
        </w:rPr>
        <w:t xml:space="preserve">the individual system allocations </w:t>
      </w:r>
      <w:r w:rsidR="00A830BF">
        <w:rPr>
          <w:rFonts w:ascii="Times New Roman" w:hAnsi="Times New Roman" w:cs="Times New Roman"/>
        </w:rPr>
        <w:t xml:space="preserve">from the external funding entities </w:t>
      </w:r>
      <w:r w:rsidR="00C81148">
        <w:rPr>
          <w:rFonts w:ascii="Times New Roman" w:hAnsi="Times New Roman" w:cs="Times New Roman"/>
        </w:rPr>
        <w:t xml:space="preserve">will be </w:t>
      </w:r>
      <w:r w:rsidR="00885CB1">
        <w:rPr>
          <w:rFonts w:ascii="Times New Roman" w:hAnsi="Times New Roman" w:cs="Times New Roman"/>
        </w:rPr>
        <w:t xml:space="preserve">contractually bound to be </w:t>
      </w:r>
      <w:r w:rsidR="007E7546">
        <w:rPr>
          <w:rFonts w:ascii="Times New Roman" w:hAnsi="Times New Roman" w:cs="Times New Roman"/>
        </w:rPr>
        <w:t xml:space="preserve">managed by the aggregate entity. </w:t>
      </w:r>
    </w:p>
    <w:p w14:paraId="21A54AEA" w14:textId="77777777" w:rsidR="00C325D1" w:rsidRDefault="00C325D1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ABD9FE6" w14:textId="337B70DB" w:rsidR="00E45EAD" w:rsidRDefault="00E45EAD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45EA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Summary</w:t>
      </w:r>
    </w:p>
    <w:p w14:paraId="2FEAA9C1" w14:textId="77777777" w:rsidR="00E2355C" w:rsidRDefault="00E2355C" w:rsidP="00E4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FD5C269" w14:textId="5D37C62D" w:rsidR="00977E7B" w:rsidRPr="00FF2BB2" w:rsidRDefault="00977E7B" w:rsidP="00977E7B">
      <w:pPr>
        <w:pStyle w:val="ListParagraph"/>
        <w:numPr>
          <w:ilvl w:val="0"/>
          <w:numId w:val="3"/>
        </w:numPr>
        <w:spacing w:line="278" w:lineRule="auto"/>
        <w:ind w:left="360"/>
        <w:rPr>
          <w:rFonts w:ascii="Times New Roman" w:hAnsi="Times New Roman" w:cs="Times New Roman"/>
        </w:rPr>
      </w:pPr>
      <w:r w:rsidRPr="00FF2BB2">
        <w:rPr>
          <w:rFonts w:ascii="Times New Roman" w:hAnsi="Times New Roman" w:cs="Times New Roman"/>
        </w:rPr>
        <w:t>Safe, sustainable drinking water supplies are not available for m</w:t>
      </w:r>
      <w:r w:rsidR="00CF7222">
        <w:rPr>
          <w:rFonts w:ascii="Times New Roman" w:hAnsi="Times New Roman" w:cs="Times New Roman"/>
        </w:rPr>
        <w:t>any</w:t>
      </w:r>
      <w:r w:rsidRPr="00FF2BB2">
        <w:rPr>
          <w:rFonts w:ascii="Times New Roman" w:hAnsi="Times New Roman" w:cs="Times New Roman"/>
        </w:rPr>
        <w:t xml:space="preserve"> DAC </w:t>
      </w:r>
      <w:r>
        <w:rPr>
          <w:rFonts w:ascii="Times New Roman" w:hAnsi="Times New Roman" w:cs="Times New Roman"/>
        </w:rPr>
        <w:t xml:space="preserve">and </w:t>
      </w:r>
      <w:r w:rsidR="00214B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mall </w:t>
      </w:r>
      <w:r w:rsidR="00214B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ystem </w:t>
      </w:r>
      <w:r w:rsidRPr="00FF2BB2">
        <w:rPr>
          <w:rFonts w:ascii="Times New Roman" w:hAnsi="Times New Roman" w:cs="Times New Roman"/>
        </w:rPr>
        <w:t>residents, nor does it appear that they will be available soon</w:t>
      </w:r>
      <w:r w:rsidR="00162542">
        <w:rPr>
          <w:rFonts w:ascii="Times New Roman" w:hAnsi="Times New Roman" w:cs="Times New Roman"/>
        </w:rPr>
        <w:t xml:space="preserve"> using current processes</w:t>
      </w:r>
      <w:r w:rsidRPr="00FF2BB2">
        <w:rPr>
          <w:rFonts w:ascii="Times New Roman" w:hAnsi="Times New Roman" w:cs="Times New Roman"/>
        </w:rPr>
        <w:t>.</w:t>
      </w:r>
    </w:p>
    <w:p w14:paraId="769023C3" w14:textId="4A87383D" w:rsidR="00977E7B" w:rsidRPr="00FF2BB2" w:rsidRDefault="00977E7B" w:rsidP="00977E7B">
      <w:pPr>
        <w:pStyle w:val="ListParagraph"/>
        <w:numPr>
          <w:ilvl w:val="0"/>
          <w:numId w:val="3"/>
        </w:numPr>
        <w:spacing w:line="278" w:lineRule="auto"/>
        <w:ind w:left="360"/>
        <w:rPr>
          <w:rFonts w:ascii="Times New Roman" w:hAnsi="Times New Roman" w:cs="Times New Roman"/>
        </w:rPr>
      </w:pPr>
      <w:r w:rsidRPr="00FF2BB2">
        <w:rPr>
          <w:rFonts w:ascii="Times New Roman" w:hAnsi="Times New Roman" w:cs="Times New Roman"/>
        </w:rPr>
        <w:t xml:space="preserve">The provision of safe drinking water supplies to DAC </w:t>
      </w:r>
      <w:r>
        <w:rPr>
          <w:rFonts w:ascii="Times New Roman" w:hAnsi="Times New Roman" w:cs="Times New Roman"/>
        </w:rPr>
        <w:t xml:space="preserve">and </w:t>
      </w:r>
      <w:r w:rsidR="007775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mall system </w:t>
      </w:r>
      <w:r w:rsidRPr="00FF2BB2">
        <w:rPr>
          <w:rFonts w:ascii="Times New Roman" w:hAnsi="Times New Roman" w:cs="Times New Roman"/>
        </w:rPr>
        <w:t xml:space="preserve">residents requires a </w:t>
      </w:r>
      <w:r>
        <w:rPr>
          <w:rFonts w:ascii="Times New Roman" w:hAnsi="Times New Roman" w:cs="Times New Roman"/>
        </w:rPr>
        <w:t xml:space="preserve">responsible </w:t>
      </w:r>
      <w:r w:rsidRPr="00FF2BB2">
        <w:rPr>
          <w:rFonts w:ascii="Times New Roman" w:hAnsi="Times New Roman" w:cs="Times New Roman"/>
        </w:rPr>
        <w:t xml:space="preserve">fiscal and administrative governance process.  </w:t>
      </w:r>
    </w:p>
    <w:p w14:paraId="12B8E628" w14:textId="17763FBD" w:rsidR="00977E7B" w:rsidRPr="00FF2BB2" w:rsidRDefault="00977E7B" w:rsidP="00977E7B">
      <w:pPr>
        <w:pStyle w:val="ListParagraph"/>
        <w:numPr>
          <w:ilvl w:val="0"/>
          <w:numId w:val="3"/>
        </w:numPr>
        <w:spacing w:line="278" w:lineRule="auto"/>
        <w:ind w:left="360"/>
        <w:rPr>
          <w:rFonts w:ascii="Times New Roman" w:hAnsi="Times New Roman" w:cs="Times New Roman"/>
        </w:rPr>
      </w:pPr>
      <w:r w:rsidRPr="00FF2BB2">
        <w:rPr>
          <w:rFonts w:ascii="Times New Roman" w:hAnsi="Times New Roman" w:cs="Times New Roman"/>
        </w:rPr>
        <w:t xml:space="preserve">The </w:t>
      </w:r>
      <w:bookmarkStart w:id="1" w:name="_Hlk167953327"/>
      <w:r w:rsidR="00C325D1">
        <w:rPr>
          <w:rFonts w:ascii="Times New Roman" w:hAnsi="Times New Roman" w:cs="Times New Roman"/>
        </w:rPr>
        <w:t>s</w:t>
      </w:r>
      <w:r w:rsidRPr="00784DDA">
        <w:rPr>
          <w:rFonts w:ascii="Times New Roman" w:hAnsi="Times New Roman" w:cs="Times New Roman"/>
          <w:b/>
          <w:bCs/>
          <w:i/>
          <w:iCs/>
        </w:rPr>
        <w:t>cale</w:t>
      </w:r>
      <w:bookmarkEnd w:id="1"/>
      <w:r w:rsidRPr="00FF2BB2">
        <w:rPr>
          <w:rFonts w:ascii="Times New Roman" w:hAnsi="Times New Roman" w:cs="Times New Roman"/>
        </w:rPr>
        <w:t xml:space="preserve"> of any entity providing </w:t>
      </w:r>
      <w:r w:rsidR="00663C83">
        <w:rPr>
          <w:rFonts w:ascii="Times New Roman" w:hAnsi="Times New Roman" w:cs="Times New Roman"/>
        </w:rPr>
        <w:t xml:space="preserve">aggregated </w:t>
      </w:r>
      <w:r w:rsidRPr="00FF2BB2">
        <w:rPr>
          <w:rFonts w:ascii="Times New Roman" w:hAnsi="Times New Roman" w:cs="Times New Roman"/>
        </w:rPr>
        <w:t xml:space="preserve">utility services is an important factor </w:t>
      </w:r>
      <w:r>
        <w:rPr>
          <w:rFonts w:ascii="Times New Roman" w:hAnsi="Times New Roman" w:cs="Times New Roman"/>
        </w:rPr>
        <w:t>of that entity</w:t>
      </w:r>
      <w:r w:rsidRPr="00FF2BB2">
        <w:rPr>
          <w:rFonts w:ascii="Times New Roman" w:hAnsi="Times New Roman" w:cs="Times New Roman"/>
        </w:rPr>
        <w:t xml:space="preserve"> being able to achieve a sustainable</w:t>
      </w:r>
      <w:r w:rsidR="00E66422">
        <w:rPr>
          <w:rFonts w:ascii="Times New Roman" w:hAnsi="Times New Roman" w:cs="Times New Roman"/>
        </w:rPr>
        <w:t xml:space="preserve"> and</w:t>
      </w:r>
      <w:r w:rsidRPr="00FF2BB2">
        <w:rPr>
          <w:rFonts w:ascii="Times New Roman" w:hAnsi="Times New Roman" w:cs="Times New Roman"/>
        </w:rPr>
        <w:t xml:space="preserve"> fiscally responsible service. </w:t>
      </w:r>
      <w:r>
        <w:rPr>
          <w:rFonts w:ascii="Times New Roman" w:hAnsi="Times New Roman" w:cs="Times New Roman"/>
        </w:rPr>
        <w:t>A</w:t>
      </w:r>
      <w:r w:rsidRPr="00FF2BB2">
        <w:rPr>
          <w:rFonts w:ascii="Times New Roman" w:hAnsi="Times New Roman" w:cs="Times New Roman"/>
        </w:rPr>
        <w:t xml:space="preserve"> key to achieving </w:t>
      </w:r>
      <w:r w:rsidR="00663C83">
        <w:rPr>
          <w:rFonts w:ascii="Times New Roman" w:hAnsi="Times New Roman" w:cs="Times New Roman"/>
          <w:b/>
          <w:bCs/>
          <w:i/>
          <w:iCs/>
        </w:rPr>
        <w:t>sc</w:t>
      </w:r>
      <w:r w:rsidRPr="00784DDA">
        <w:rPr>
          <w:rFonts w:ascii="Times New Roman" w:hAnsi="Times New Roman" w:cs="Times New Roman"/>
          <w:b/>
          <w:bCs/>
          <w:i/>
          <w:iCs/>
        </w:rPr>
        <w:t>ale</w:t>
      </w:r>
      <w:r w:rsidRPr="00FF2BB2">
        <w:rPr>
          <w:rFonts w:ascii="Times New Roman" w:hAnsi="Times New Roman" w:cs="Times New Roman"/>
        </w:rPr>
        <w:t xml:space="preserve"> is to combine several DAC </w:t>
      </w:r>
      <w:r>
        <w:rPr>
          <w:rFonts w:ascii="Times New Roman" w:hAnsi="Times New Roman" w:cs="Times New Roman"/>
        </w:rPr>
        <w:t xml:space="preserve">or </w:t>
      </w:r>
      <w:r w:rsidR="00962B6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mall </w:t>
      </w:r>
      <w:r w:rsidR="00962B6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ystems </w:t>
      </w:r>
      <w:r w:rsidRPr="00FF2BB2">
        <w:rPr>
          <w:rFonts w:ascii="Times New Roman" w:hAnsi="Times New Roman" w:cs="Times New Roman"/>
        </w:rPr>
        <w:t xml:space="preserve">within a </w:t>
      </w:r>
      <w:r w:rsidR="00962B64">
        <w:rPr>
          <w:rFonts w:ascii="Times New Roman" w:hAnsi="Times New Roman" w:cs="Times New Roman"/>
        </w:rPr>
        <w:t xml:space="preserve">logical </w:t>
      </w:r>
      <w:r w:rsidRPr="00FF2BB2">
        <w:rPr>
          <w:rFonts w:ascii="Times New Roman" w:hAnsi="Times New Roman" w:cs="Times New Roman"/>
        </w:rPr>
        <w:t xml:space="preserve">service area into a single utility service </w:t>
      </w:r>
      <w:r w:rsidR="00996D89">
        <w:rPr>
          <w:rFonts w:ascii="Times New Roman" w:hAnsi="Times New Roman" w:cs="Times New Roman"/>
        </w:rPr>
        <w:t>ag</w:t>
      </w:r>
      <w:r w:rsidR="009779C4">
        <w:rPr>
          <w:rFonts w:ascii="Times New Roman" w:hAnsi="Times New Roman" w:cs="Times New Roman"/>
        </w:rPr>
        <w:t xml:space="preserve">ency </w:t>
      </w:r>
      <w:r w:rsidRPr="00FF2BB2">
        <w:rPr>
          <w:rFonts w:ascii="Times New Roman" w:hAnsi="Times New Roman" w:cs="Times New Roman"/>
        </w:rPr>
        <w:t xml:space="preserve">and to </w:t>
      </w:r>
      <w:r>
        <w:rPr>
          <w:rFonts w:ascii="Times New Roman" w:hAnsi="Times New Roman" w:cs="Times New Roman"/>
        </w:rPr>
        <w:t xml:space="preserve">provide </w:t>
      </w:r>
      <w:r w:rsidRPr="00FF2BB2">
        <w:rPr>
          <w:rFonts w:ascii="Times New Roman" w:hAnsi="Times New Roman" w:cs="Times New Roman"/>
        </w:rPr>
        <w:t xml:space="preserve">management services </w:t>
      </w:r>
      <w:r>
        <w:rPr>
          <w:rFonts w:ascii="Times New Roman" w:hAnsi="Times New Roman" w:cs="Times New Roman"/>
        </w:rPr>
        <w:t xml:space="preserve">for </w:t>
      </w:r>
      <w:r w:rsidRPr="00FF2BB2">
        <w:rPr>
          <w:rFonts w:ascii="Times New Roman" w:hAnsi="Times New Roman" w:cs="Times New Roman"/>
        </w:rPr>
        <w:t>drinking water</w:t>
      </w:r>
      <w:r w:rsidR="00DF7FB4">
        <w:rPr>
          <w:rFonts w:ascii="Times New Roman" w:hAnsi="Times New Roman" w:cs="Times New Roman"/>
        </w:rPr>
        <w:t xml:space="preserve"> as a </w:t>
      </w:r>
      <w:r w:rsidR="007427B4">
        <w:rPr>
          <w:rFonts w:ascii="Times New Roman" w:hAnsi="Times New Roman" w:cs="Times New Roman"/>
        </w:rPr>
        <w:t xml:space="preserve">necessary </w:t>
      </w:r>
      <w:r w:rsidR="00DF7FB4">
        <w:rPr>
          <w:rFonts w:ascii="Times New Roman" w:hAnsi="Times New Roman" w:cs="Times New Roman"/>
        </w:rPr>
        <w:t>core but</w:t>
      </w:r>
      <w:r w:rsidR="00B02950">
        <w:rPr>
          <w:rFonts w:ascii="Times New Roman" w:hAnsi="Times New Roman" w:cs="Times New Roman"/>
        </w:rPr>
        <w:t xml:space="preserve"> to potentially </w:t>
      </w:r>
      <w:r w:rsidR="00583896">
        <w:rPr>
          <w:rFonts w:ascii="Times New Roman" w:hAnsi="Times New Roman" w:cs="Times New Roman"/>
        </w:rPr>
        <w:t>include</w:t>
      </w:r>
      <w:r w:rsidRPr="00FF2BB2">
        <w:rPr>
          <w:rFonts w:ascii="Times New Roman" w:hAnsi="Times New Roman" w:cs="Times New Roman"/>
        </w:rPr>
        <w:t xml:space="preserve"> wastewater, stormwater</w:t>
      </w:r>
      <w:r>
        <w:rPr>
          <w:rFonts w:ascii="Times New Roman" w:hAnsi="Times New Roman" w:cs="Times New Roman"/>
        </w:rPr>
        <w:t xml:space="preserve">, </w:t>
      </w:r>
      <w:r w:rsidR="009779C4">
        <w:rPr>
          <w:rFonts w:ascii="Times New Roman" w:hAnsi="Times New Roman" w:cs="Times New Roman"/>
        </w:rPr>
        <w:t>flood water protection</w:t>
      </w:r>
      <w:r w:rsidR="00B02950">
        <w:rPr>
          <w:rFonts w:ascii="Times New Roman" w:hAnsi="Times New Roman" w:cs="Times New Roman"/>
        </w:rPr>
        <w:t>, domestic wells, s</w:t>
      </w:r>
      <w:r w:rsidR="00B30E3E">
        <w:rPr>
          <w:rFonts w:ascii="Times New Roman" w:hAnsi="Times New Roman" w:cs="Times New Roman"/>
        </w:rPr>
        <w:t>eptic tanks</w:t>
      </w:r>
      <w:r w:rsidR="009779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and, where feasible, recycled water</w:t>
      </w:r>
      <w:r w:rsidRPr="00FF2BB2">
        <w:rPr>
          <w:rFonts w:ascii="Times New Roman" w:hAnsi="Times New Roman" w:cs="Times New Roman"/>
        </w:rPr>
        <w:t>.</w:t>
      </w:r>
    </w:p>
    <w:p w14:paraId="5A6238D0" w14:textId="0A10DC17" w:rsidR="00977E7B" w:rsidRDefault="00977E7B" w:rsidP="00977E7B">
      <w:pPr>
        <w:pStyle w:val="ListParagraph"/>
        <w:numPr>
          <w:ilvl w:val="0"/>
          <w:numId w:val="3"/>
        </w:numPr>
        <w:spacing w:line="278" w:lineRule="auto"/>
        <w:ind w:left="360"/>
        <w:rPr>
          <w:rFonts w:ascii="Times New Roman" w:hAnsi="Times New Roman" w:cs="Times New Roman"/>
        </w:rPr>
      </w:pPr>
      <w:r w:rsidRPr="00FF2BB2">
        <w:rPr>
          <w:rFonts w:ascii="Times New Roman" w:hAnsi="Times New Roman" w:cs="Times New Roman"/>
        </w:rPr>
        <w:t xml:space="preserve">The issue of the approach for implementing an effective governance structure for DAC </w:t>
      </w:r>
      <w:r>
        <w:rPr>
          <w:rFonts w:ascii="Times New Roman" w:hAnsi="Times New Roman" w:cs="Times New Roman"/>
        </w:rPr>
        <w:t xml:space="preserve">and </w:t>
      </w:r>
      <w:r w:rsidR="0042529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mall </w:t>
      </w:r>
      <w:r w:rsidR="0042529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ystems </w:t>
      </w:r>
      <w:r w:rsidRPr="00FF2BB2">
        <w:rPr>
          <w:rFonts w:ascii="Times New Roman" w:hAnsi="Times New Roman" w:cs="Times New Roman"/>
        </w:rPr>
        <w:t xml:space="preserve">within </w:t>
      </w:r>
      <w:r w:rsidR="002135DE">
        <w:rPr>
          <w:rFonts w:ascii="Times New Roman" w:hAnsi="Times New Roman" w:cs="Times New Roman"/>
        </w:rPr>
        <w:t xml:space="preserve">logical </w:t>
      </w:r>
      <w:r w:rsidRPr="00FF2BB2">
        <w:rPr>
          <w:rFonts w:ascii="Times New Roman" w:hAnsi="Times New Roman" w:cs="Times New Roman"/>
        </w:rPr>
        <w:t>designated service areas must be resolved</w:t>
      </w:r>
      <w:r w:rsidR="00D24F81">
        <w:rPr>
          <w:rFonts w:ascii="Times New Roman" w:hAnsi="Times New Roman" w:cs="Times New Roman"/>
        </w:rPr>
        <w:t xml:space="preserve"> </w:t>
      </w:r>
      <w:r w:rsidR="00EE4F10">
        <w:rPr>
          <w:rFonts w:ascii="Times New Roman" w:hAnsi="Times New Roman" w:cs="Times New Roman"/>
        </w:rPr>
        <w:t>but</w:t>
      </w:r>
      <w:r w:rsidR="00D24F81">
        <w:rPr>
          <w:rFonts w:ascii="Times New Roman" w:hAnsi="Times New Roman" w:cs="Times New Roman"/>
        </w:rPr>
        <w:t xml:space="preserve"> include acknowled</w:t>
      </w:r>
      <w:r w:rsidR="008A67CE">
        <w:rPr>
          <w:rFonts w:ascii="Times New Roman" w:hAnsi="Times New Roman" w:cs="Times New Roman"/>
        </w:rPr>
        <w:t>ging the issue of community identity</w:t>
      </w:r>
      <w:r w:rsidR="00F87DB0">
        <w:rPr>
          <w:rFonts w:ascii="Times New Roman" w:hAnsi="Times New Roman" w:cs="Times New Roman"/>
        </w:rPr>
        <w:t xml:space="preserve"> </w:t>
      </w:r>
      <w:r w:rsidR="00C03517">
        <w:rPr>
          <w:rFonts w:ascii="Times New Roman" w:hAnsi="Times New Roman" w:cs="Times New Roman"/>
        </w:rPr>
        <w:t>yet</w:t>
      </w:r>
      <w:r w:rsidR="00F87DB0">
        <w:rPr>
          <w:rFonts w:ascii="Times New Roman" w:hAnsi="Times New Roman" w:cs="Times New Roman"/>
        </w:rPr>
        <w:t xml:space="preserve"> also have sufficient participation to gain the anticipated </w:t>
      </w:r>
      <w:r w:rsidR="00214B70">
        <w:rPr>
          <w:rFonts w:ascii="Times New Roman" w:hAnsi="Times New Roman" w:cs="Times New Roman"/>
        </w:rPr>
        <w:t xml:space="preserve">aggregation </w:t>
      </w:r>
      <w:r w:rsidR="00F87DB0">
        <w:rPr>
          <w:rFonts w:ascii="Times New Roman" w:hAnsi="Times New Roman" w:cs="Times New Roman"/>
        </w:rPr>
        <w:t xml:space="preserve">benefits </w:t>
      </w:r>
      <w:r w:rsidR="00013783">
        <w:rPr>
          <w:rFonts w:ascii="Times New Roman" w:hAnsi="Times New Roman" w:cs="Times New Roman"/>
        </w:rPr>
        <w:t>of reduced costs.</w:t>
      </w:r>
    </w:p>
    <w:p w14:paraId="51314112" w14:textId="557813A0" w:rsidR="001120D7" w:rsidRPr="00FF2BB2" w:rsidRDefault="001120D7" w:rsidP="00977E7B">
      <w:pPr>
        <w:pStyle w:val="ListParagraph"/>
        <w:numPr>
          <w:ilvl w:val="0"/>
          <w:numId w:val="3"/>
        </w:numPr>
        <w:spacing w:line="278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</w:t>
      </w:r>
      <w:r w:rsidR="00D255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education</w:t>
      </w:r>
      <w:r w:rsidR="00D25552">
        <w:rPr>
          <w:rFonts w:ascii="Times New Roman" w:hAnsi="Times New Roman" w:cs="Times New Roman"/>
        </w:rPr>
        <w:t xml:space="preserve"> and communication </w:t>
      </w:r>
      <w:r w:rsidR="00A24D80">
        <w:rPr>
          <w:rFonts w:ascii="Times New Roman" w:hAnsi="Times New Roman" w:cs="Times New Roman"/>
        </w:rPr>
        <w:t>strategies</w:t>
      </w:r>
      <w:r>
        <w:rPr>
          <w:rFonts w:ascii="Times New Roman" w:hAnsi="Times New Roman" w:cs="Times New Roman"/>
        </w:rPr>
        <w:t xml:space="preserve"> from </w:t>
      </w:r>
      <w:r w:rsidR="00D25552">
        <w:rPr>
          <w:rFonts w:ascii="Times New Roman" w:hAnsi="Times New Roman" w:cs="Times New Roman"/>
        </w:rPr>
        <w:t xml:space="preserve">top to bottom </w:t>
      </w:r>
      <w:r w:rsidR="00A24D80">
        <w:rPr>
          <w:rFonts w:ascii="Times New Roman" w:hAnsi="Times New Roman" w:cs="Times New Roman"/>
        </w:rPr>
        <w:t xml:space="preserve">and bottom to top </w:t>
      </w:r>
      <w:r w:rsidR="00D25552">
        <w:rPr>
          <w:rFonts w:ascii="Times New Roman" w:hAnsi="Times New Roman" w:cs="Times New Roman"/>
        </w:rPr>
        <w:t xml:space="preserve">are a key element of any successful </w:t>
      </w:r>
      <w:r w:rsidR="00A24D80">
        <w:rPr>
          <w:rFonts w:ascii="Times New Roman" w:hAnsi="Times New Roman" w:cs="Times New Roman"/>
        </w:rPr>
        <w:t>process</w:t>
      </w:r>
      <w:r w:rsidR="00D4110D">
        <w:rPr>
          <w:rFonts w:ascii="Times New Roman" w:hAnsi="Times New Roman" w:cs="Times New Roman"/>
        </w:rPr>
        <w:t>.</w:t>
      </w:r>
    </w:p>
    <w:p w14:paraId="1EAD534E" w14:textId="77777777" w:rsidR="000A0473" w:rsidRDefault="000A0473" w:rsidP="00977E7B">
      <w:pPr>
        <w:ind w:left="720" w:hanging="720"/>
        <w:rPr>
          <w:rFonts w:ascii="Arial" w:hAnsi="Arial" w:cs="Arial"/>
          <w:sz w:val="24"/>
          <w:szCs w:val="24"/>
        </w:rPr>
      </w:pPr>
    </w:p>
    <w:p w14:paraId="052A6AD1" w14:textId="650C29D2" w:rsidR="00977E7B" w:rsidRPr="002A5AD5" w:rsidRDefault="00977E7B" w:rsidP="00977E7B">
      <w:pPr>
        <w:ind w:left="720" w:hanging="720"/>
        <w:rPr>
          <w:rFonts w:ascii="Arial" w:hAnsi="Arial" w:cs="Arial"/>
          <w:sz w:val="24"/>
          <w:szCs w:val="24"/>
        </w:rPr>
      </w:pPr>
      <w:r w:rsidRPr="002A5AD5">
        <w:rPr>
          <w:rFonts w:ascii="Arial" w:hAnsi="Arial" w:cs="Arial"/>
          <w:sz w:val="24"/>
          <w:szCs w:val="24"/>
        </w:rPr>
        <w:t>Recommendation</w:t>
      </w:r>
      <w:r w:rsidR="00BC6DB4">
        <w:rPr>
          <w:rFonts w:ascii="Arial" w:hAnsi="Arial" w:cs="Arial"/>
          <w:sz w:val="24"/>
          <w:szCs w:val="24"/>
        </w:rPr>
        <w:t>s</w:t>
      </w:r>
    </w:p>
    <w:p w14:paraId="475092F1" w14:textId="53489297" w:rsidR="00977E7B" w:rsidRDefault="008E439C" w:rsidP="00977E7B">
      <w:pPr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</w:t>
      </w:r>
      <w:r w:rsidR="00977E7B" w:rsidRPr="002F6A11">
        <w:rPr>
          <w:rFonts w:ascii="Times New Roman" w:hAnsi="Times New Roman" w:cs="Times New Roman"/>
        </w:rPr>
        <w:t xml:space="preserve"> path forward for </w:t>
      </w:r>
      <w:r w:rsidR="00977E7B">
        <w:rPr>
          <w:rFonts w:ascii="Times New Roman" w:hAnsi="Times New Roman" w:cs="Times New Roman"/>
        </w:rPr>
        <w:t>providing DAC</w:t>
      </w:r>
      <w:r w:rsidR="00526478">
        <w:rPr>
          <w:rFonts w:ascii="Times New Roman" w:hAnsi="Times New Roman" w:cs="Times New Roman"/>
        </w:rPr>
        <w:t>, rural</w:t>
      </w:r>
      <w:r w:rsidR="00977E7B">
        <w:rPr>
          <w:rFonts w:ascii="Times New Roman" w:hAnsi="Times New Roman" w:cs="Times New Roman"/>
        </w:rPr>
        <w:t xml:space="preserve"> and </w:t>
      </w:r>
      <w:r w:rsidR="008508A6">
        <w:rPr>
          <w:rFonts w:ascii="Times New Roman" w:hAnsi="Times New Roman" w:cs="Times New Roman"/>
        </w:rPr>
        <w:t>s</w:t>
      </w:r>
      <w:r w:rsidR="00977E7B">
        <w:rPr>
          <w:rFonts w:ascii="Times New Roman" w:hAnsi="Times New Roman" w:cs="Times New Roman"/>
        </w:rPr>
        <w:t xml:space="preserve">mall </w:t>
      </w:r>
      <w:r w:rsidR="008508A6">
        <w:rPr>
          <w:rFonts w:ascii="Times New Roman" w:hAnsi="Times New Roman" w:cs="Times New Roman"/>
        </w:rPr>
        <w:t>c</w:t>
      </w:r>
      <w:r w:rsidR="00977E7B">
        <w:rPr>
          <w:rFonts w:ascii="Times New Roman" w:hAnsi="Times New Roman" w:cs="Times New Roman"/>
        </w:rPr>
        <w:t xml:space="preserve">ommunities with assured and sustainable </w:t>
      </w:r>
      <w:r w:rsidR="008508A6">
        <w:rPr>
          <w:rFonts w:ascii="Times New Roman" w:hAnsi="Times New Roman" w:cs="Times New Roman"/>
        </w:rPr>
        <w:t xml:space="preserve">drinking </w:t>
      </w:r>
      <w:r w:rsidR="00977E7B">
        <w:rPr>
          <w:rFonts w:ascii="Times New Roman" w:hAnsi="Times New Roman" w:cs="Times New Roman"/>
        </w:rPr>
        <w:t xml:space="preserve">water </w:t>
      </w:r>
      <w:r w:rsidR="008508A6">
        <w:rPr>
          <w:rFonts w:ascii="Times New Roman" w:hAnsi="Times New Roman" w:cs="Times New Roman"/>
        </w:rPr>
        <w:t xml:space="preserve">and other related </w:t>
      </w:r>
      <w:r w:rsidR="00977E7B">
        <w:rPr>
          <w:rFonts w:ascii="Times New Roman" w:hAnsi="Times New Roman" w:cs="Times New Roman"/>
        </w:rPr>
        <w:t>services is best addressed by the</w:t>
      </w:r>
      <w:r w:rsidR="00F851DD">
        <w:rPr>
          <w:rFonts w:ascii="Times New Roman" w:hAnsi="Times New Roman" w:cs="Times New Roman"/>
        </w:rPr>
        <w:t xml:space="preserve"> local </w:t>
      </w:r>
      <w:r w:rsidR="00B17370">
        <w:rPr>
          <w:rFonts w:ascii="Times New Roman" w:hAnsi="Times New Roman" w:cs="Times New Roman"/>
        </w:rPr>
        <w:t xml:space="preserve">formation of </w:t>
      </w:r>
      <w:r w:rsidR="003C6EE2">
        <w:rPr>
          <w:rFonts w:ascii="Times New Roman" w:hAnsi="Times New Roman" w:cs="Times New Roman"/>
        </w:rPr>
        <w:t xml:space="preserve">an area-wide </w:t>
      </w:r>
      <w:r w:rsidR="00B17370">
        <w:rPr>
          <w:rFonts w:ascii="Times New Roman" w:hAnsi="Times New Roman" w:cs="Times New Roman"/>
        </w:rPr>
        <w:t>JPA or legislated special district</w:t>
      </w:r>
      <w:r w:rsidR="00E80EFB">
        <w:rPr>
          <w:rFonts w:ascii="Times New Roman" w:hAnsi="Times New Roman" w:cs="Times New Roman"/>
        </w:rPr>
        <w:t xml:space="preserve"> along </w:t>
      </w:r>
      <w:r w:rsidR="00001859">
        <w:rPr>
          <w:rFonts w:ascii="Times New Roman" w:hAnsi="Times New Roman" w:cs="Times New Roman"/>
        </w:rPr>
        <w:t xml:space="preserve">with </w:t>
      </w:r>
      <w:r w:rsidR="00E80EFB">
        <w:rPr>
          <w:rFonts w:ascii="Times New Roman" w:hAnsi="Times New Roman" w:cs="Times New Roman"/>
        </w:rPr>
        <w:t>the support of the</w:t>
      </w:r>
      <w:r w:rsidR="00977E7B">
        <w:rPr>
          <w:rFonts w:ascii="Times New Roman" w:hAnsi="Times New Roman" w:cs="Times New Roman"/>
        </w:rPr>
        <w:t xml:space="preserve"> Waterboard</w:t>
      </w:r>
      <w:r w:rsidR="00E80EFB">
        <w:rPr>
          <w:rFonts w:ascii="Times New Roman" w:hAnsi="Times New Roman" w:cs="Times New Roman"/>
        </w:rPr>
        <w:t xml:space="preserve"> system</w:t>
      </w:r>
      <w:r w:rsidR="001008EB">
        <w:rPr>
          <w:rFonts w:ascii="Times New Roman" w:hAnsi="Times New Roman" w:cs="Times New Roman"/>
        </w:rPr>
        <w:t>,</w:t>
      </w:r>
      <w:r w:rsidR="00977E7B">
        <w:rPr>
          <w:rFonts w:ascii="Times New Roman" w:hAnsi="Times New Roman" w:cs="Times New Roman"/>
        </w:rPr>
        <w:t xml:space="preserve"> DWR</w:t>
      </w:r>
      <w:r w:rsidR="00BF7450">
        <w:rPr>
          <w:rFonts w:ascii="Times New Roman" w:hAnsi="Times New Roman" w:cs="Times New Roman"/>
        </w:rPr>
        <w:t>,</w:t>
      </w:r>
      <w:r w:rsidR="00977E7B">
        <w:rPr>
          <w:rFonts w:ascii="Times New Roman" w:hAnsi="Times New Roman" w:cs="Times New Roman"/>
        </w:rPr>
        <w:t xml:space="preserve"> CDFA (in rural areas)</w:t>
      </w:r>
      <w:r w:rsidR="00BF7450">
        <w:rPr>
          <w:rFonts w:ascii="Times New Roman" w:hAnsi="Times New Roman" w:cs="Times New Roman"/>
        </w:rPr>
        <w:t>, relevant federal agencies</w:t>
      </w:r>
      <w:r w:rsidR="000B6905">
        <w:rPr>
          <w:rFonts w:ascii="Times New Roman" w:hAnsi="Times New Roman" w:cs="Times New Roman"/>
        </w:rPr>
        <w:t xml:space="preserve"> and </w:t>
      </w:r>
      <w:r w:rsidR="004568F3">
        <w:rPr>
          <w:rFonts w:ascii="Times New Roman" w:hAnsi="Times New Roman" w:cs="Times New Roman"/>
        </w:rPr>
        <w:t xml:space="preserve">stakeholders in </w:t>
      </w:r>
      <w:r w:rsidR="003948E6">
        <w:rPr>
          <w:rFonts w:ascii="Times New Roman" w:hAnsi="Times New Roman" w:cs="Times New Roman"/>
        </w:rPr>
        <w:t xml:space="preserve">the key areas of </w:t>
      </w:r>
      <w:r w:rsidR="004568F3">
        <w:rPr>
          <w:rFonts w:ascii="Times New Roman" w:hAnsi="Times New Roman" w:cs="Times New Roman"/>
        </w:rPr>
        <w:t xml:space="preserve">logical regional </w:t>
      </w:r>
      <w:r w:rsidR="002D627C">
        <w:rPr>
          <w:rFonts w:ascii="Times New Roman" w:hAnsi="Times New Roman" w:cs="Times New Roman"/>
        </w:rPr>
        <w:t>aggregation units</w:t>
      </w:r>
      <w:r w:rsidR="00977E7B">
        <w:rPr>
          <w:rFonts w:ascii="Times New Roman" w:hAnsi="Times New Roman" w:cs="Times New Roman"/>
        </w:rPr>
        <w:t>.</w:t>
      </w:r>
      <w:r w:rsidR="00ED12AA">
        <w:rPr>
          <w:rFonts w:ascii="Times New Roman" w:hAnsi="Times New Roman" w:cs="Times New Roman"/>
        </w:rPr>
        <w:t xml:space="preserve"> </w:t>
      </w:r>
      <w:r w:rsidR="00ED12AA">
        <w:rPr>
          <w:rFonts w:ascii="Times New Roman" w:hAnsi="Times New Roman" w:cs="Times New Roman"/>
        </w:rPr>
        <w:lastRenderedPageBreak/>
        <w:t xml:space="preserve">The California Partnership for the San Joaquin Valley has reviewed and </w:t>
      </w:r>
      <w:r w:rsidR="006948CD">
        <w:rPr>
          <w:rFonts w:ascii="Times New Roman" w:hAnsi="Times New Roman" w:cs="Times New Roman"/>
        </w:rPr>
        <w:t>concurs with this approach (cover letter attached).</w:t>
      </w:r>
    </w:p>
    <w:sectPr w:rsidR="00977E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7976E" w14:textId="77777777" w:rsidR="00BF3024" w:rsidRDefault="00BF3024" w:rsidP="00B22762">
      <w:pPr>
        <w:spacing w:after="0" w:line="240" w:lineRule="auto"/>
      </w:pPr>
      <w:r>
        <w:separator/>
      </w:r>
    </w:p>
  </w:endnote>
  <w:endnote w:type="continuationSeparator" w:id="0">
    <w:p w14:paraId="5EA33DB2" w14:textId="77777777" w:rsidR="00BF3024" w:rsidRDefault="00BF3024" w:rsidP="00B22762">
      <w:pPr>
        <w:spacing w:after="0" w:line="240" w:lineRule="auto"/>
      </w:pPr>
      <w:r>
        <w:continuationSeparator/>
      </w:r>
    </w:p>
  </w:endnote>
  <w:endnote w:id="1">
    <w:p w14:paraId="64749A70" w14:textId="3CCD1B74" w:rsidR="00D51E20" w:rsidRDefault="00ED12A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E0B24">
        <w:t>Sarge Green</w:t>
      </w:r>
      <w:r w:rsidR="004C0F62">
        <w:t xml:space="preserve"> </w:t>
      </w:r>
      <w:r w:rsidR="00D51E20">
        <w:t>is a water management specialist with the California Water institute and</w:t>
      </w:r>
      <w:r w:rsidR="00577C83">
        <w:t xml:space="preserve"> Center for Irrigation Technology</w:t>
      </w:r>
      <w:r w:rsidR="00F91447">
        <w:t xml:space="preserve"> at Fresno State University. He has been with the University since 200</w:t>
      </w:r>
      <w:r w:rsidR="008F55D5">
        <w:t xml:space="preserve">8. </w:t>
      </w:r>
    </w:p>
  </w:endnote>
  <w:endnote w:id="2">
    <w:p w14:paraId="5A0D1ED1" w14:textId="2581812B" w:rsidR="00ED12AA" w:rsidRDefault="00ED12A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E0B24">
        <w:t>Maria Kennedy</w:t>
      </w:r>
      <w:r w:rsidR="005D01E8">
        <w:t xml:space="preserve"> is a disadvantaged community consultant and project manager for multiple water and wastewater projects in various parts of Southern </w:t>
      </w:r>
      <w:r w:rsidR="00EE5629">
        <w:t>and Central California</w:t>
      </w:r>
      <w:r w:rsidR="0031571D">
        <w:t>.</w:t>
      </w:r>
    </w:p>
  </w:endnote>
  <w:endnote w:id="3">
    <w:p w14:paraId="1818BAEB" w14:textId="03ACE5C0" w:rsidR="00ED12AA" w:rsidRDefault="00ED12A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E0B24">
        <w:t xml:space="preserve">Karl </w:t>
      </w:r>
      <w:r w:rsidR="00690C3B">
        <w:t>Longley</w:t>
      </w:r>
      <w:r w:rsidR="0031571D">
        <w:t xml:space="preserve"> is </w:t>
      </w:r>
      <w:r w:rsidR="00CA4DC2">
        <w:t>an emeritus</w:t>
      </w:r>
      <w:r w:rsidR="0031571D">
        <w:t xml:space="preserve"> Dean of the School of Engineering at Fresno State and </w:t>
      </w:r>
      <w:r w:rsidR="00CA4DC2">
        <w:t xml:space="preserve">served </w:t>
      </w:r>
      <w:r w:rsidR="00C50F94">
        <w:t xml:space="preserve">as a member and </w:t>
      </w:r>
      <w:r w:rsidR="00C22D00">
        <w:t xml:space="preserve">the </w:t>
      </w:r>
      <w:r w:rsidR="00C50F94">
        <w:t>Chair of</w:t>
      </w:r>
      <w:r w:rsidR="00CA4DC2">
        <w:t xml:space="preserve"> the Central Valley Regional Water Quality Control Board for over 25 year</w:t>
      </w:r>
      <w:r w:rsidR="00C50F94">
        <w:t>s</w:t>
      </w:r>
      <w:r w:rsidR="00B560A2">
        <w:t>.</w:t>
      </w:r>
    </w:p>
    <w:p w14:paraId="657303D7" w14:textId="77777777" w:rsidR="00F4055F" w:rsidRDefault="00F4055F">
      <w:pPr>
        <w:pStyle w:val="EndnoteText"/>
      </w:pPr>
    </w:p>
    <w:p w14:paraId="7C6631DF" w14:textId="77777777" w:rsidR="00F4055F" w:rsidRDefault="00F4055F">
      <w:pPr>
        <w:pStyle w:val="EndnoteText"/>
      </w:pPr>
    </w:p>
    <w:p w14:paraId="0A65FCF1" w14:textId="77777777" w:rsidR="00F4055F" w:rsidRDefault="00F4055F">
      <w:pPr>
        <w:pStyle w:val="EndnoteText"/>
      </w:pPr>
    </w:p>
    <w:p w14:paraId="32B8352F" w14:textId="77777777" w:rsidR="00F4055F" w:rsidRDefault="00F4055F">
      <w:pPr>
        <w:pStyle w:val="EndnoteText"/>
      </w:pPr>
    </w:p>
    <w:p w14:paraId="3FA8AED7" w14:textId="77777777" w:rsidR="00F4055F" w:rsidRDefault="00F4055F">
      <w:pPr>
        <w:pStyle w:val="EndnoteText"/>
      </w:pPr>
    </w:p>
    <w:p w14:paraId="7E61FE96" w14:textId="77777777" w:rsidR="00F4055F" w:rsidRDefault="00F4055F">
      <w:pPr>
        <w:pStyle w:val="EndnoteText"/>
      </w:pPr>
    </w:p>
    <w:p w14:paraId="5019045C" w14:textId="77777777" w:rsidR="00F4055F" w:rsidRDefault="00F4055F">
      <w:pPr>
        <w:pStyle w:val="EndnoteText"/>
      </w:pPr>
    </w:p>
    <w:p w14:paraId="2D39F993" w14:textId="77777777" w:rsidR="00F4055F" w:rsidRDefault="00F4055F">
      <w:pPr>
        <w:pStyle w:val="EndnoteText"/>
      </w:pPr>
    </w:p>
    <w:p w14:paraId="35A1D253" w14:textId="77777777" w:rsidR="00F4055F" w:rsidRDefault="00F4055F">
      <w:pPr>
        <w:pStyle w:val="EndnoteText"/>
      </w:pPr>
    </w:p>
    <w:p w14:paraId="741162CF" w14:textId="77777777" w:rsidR="00F4055F" w:rsidRDefault="00F4055F">
      <w:pPr>
        <w:pStyle w:val="EndnoteText"/>
      </w:pPr>
    </w:p>
    <w:p w14:paraId="14CFE716" w14:textId="77777777" w:rsidR="00F4055F" w:rsidRDefault="00F4055F">
      <w:pPr>
        <w:pStyle w:val="EndnoteText"/>
      </w:pPr>
    </w:p>
    <w:p w14:paraId="7E8FA3C1" w14:textId="77777777" w:rsidR="00F4055F" w:rsidRDefault="00F4055F">
      <w:pPr>
        <w:pStyle w:val="EndnoteText"/>
      </w:pPr>
    </w:p>
    <w:p w14:paraId="362F7224" w14:textId="77777777" w:rsidR="00F4055F" w:rsidRDefault="00F4055F">
      <w:pPr>
        <w:pStyle w:val="EndnoteText"/>
      </w:pPr>
    </w:p>
    <w:p w14:paraId="456F3C8E" w14:textId="77777777" w:rsidR="00F4055F" w:rsidRDefault="00F4055F">
      <w:pPr>
        <w:pStyle w:val="EndnoteText"/>
      </w:pPr>
    </w:p>
    <w:p w14:paraId="6C733E24" w14:textId="77777777" w:rsidR="00F4055F" w:rsidRDefault="00F4055F">
      <w:pPr>
        <w:pStyle w:val="EndnoteText"/>
      </w:pPr>
    </w:p>
    <w:p w14:paraId="27E3A80B" w14:textId="77777777" w:rsidR="00F4055F" w:rsidRDefault="00F4055F">
      <w:pPr>
        <w:pStyle w:val="EndnoteText"/>
      </w:pPr>
    </w:p>
    <w:p w14:paraId="4E7A434F" w14:textId="77777777" w:rsidR="00F4055F" w:rsidRDefault="00F4055F">
      <w:pPr>
        <w:pStyle w:val="EndnoteText"/>
      </w:pPr>
    </w:p>
    <w:p w14:paraId="7B3EEFD8" w14:textId="77777777" w:rsidR="00F4055F" w:rsidRDefault="00F4055F">
      <w:pPr>
        <w:pStyle w:val="EndnoteText"/>
      </w:pPr>
    </w:p>
    <w:p w14:paraId="4377F98A" w14:textId="77777777" w:rsidR="00F4055F" w:rsidRDefault="00F4055F">
      <w:pPr>
        <w:pStyle w:val="EndnoteText"/>
      </w:pPr>
    </w:p>
    <w:p w14:paraId="4101EA31" w14:textId="77777777" w:rsidR="00F4055F" w:rsidRDefault="00F4055F">
      <w:pPr>
        <w:pStyle w:val="EndnoteText"/>
      </w:pPr>
    </w:p>
    <w:p w14:paraId="7CBE9855" w14:textId="77777777" w:rsidR="00F4055F" w:rsidRDefault="00F4055F">
      <w:pPr>
        <w:pStyle w:val="EndnoteText"/>
      </w:pPr>
    </w:p>
    <w:p w14:paraId="5402BEEE" w14:textId="77777777" w:rsidR="00F4055F" w:rsidRDefault="00F4055F">
      <w:pPr>
        <w:pStyle w:val="EndnoteText"/>
      </w:pPr>
    </w:p>
    <w:p w14:paraId="7177D2B5" w14:textId="77777777" w:rsidR="00F4055F" w:rsidRDefault="00F4055F">
      <w:pPr>
        <w:pStyle w:val="EndnoteText"/>
      </w:pPr>
    </w:p>
    <w:p w14:paraId="249A1A80" w14:textId="77777777" w:rsidR="00F4055F" w:rsidRDefault="00F4055F">
      <w:pPr>
        <w:pStyle w:val="EndnoteText"/>
      </w:pPr>
    </w:p>
    <w:p w14:paraId="1B4EB91F" w14:textId="77777777" w:rsidR="00F4055F" w:rsidRDefault="00F4055F">
      <w:pPr>
        <w:pStyle w:val="EndnoteText"/>
      </w:pPr>
    </w:p>
    <w:p w14:paraId="1C3D6290" w14:textId="77777777" w:rsidR="00F4055F" w:rsidRDefault="00F4055F">
      <w:pPr>
        <w:pStyle w:val="EndnoteText"/>
      </w:pPr>
    </w:p>
    <w:p w14:paraId="2D078244" w14:textId="77777777" w:rsidR="00F4055F" w:rsidRDefault="00F4055F">
      <w:pPr>
        <w:pStyle w:val="EndnoteText"/>
      </w:pPr>
    </w:p>
    <w:p w14:paraId="50315B14" w14:textId="77777777" w:rsidR="00F4055F" w:rsidRDefault="00F4055F" w:rsidP="00AC58DE">
      <w:pPr>
        <w:pStyle w:val="EndnoteText"/>
        <w:rPr>
          <w:sz w:val="40"/>
          <w:szCs w:val="40"/>
        </w:rPr>
      </w:pPr>
    </w:p>
    <w:p w14:paraId="61AAECA1" w14:textId="77777777" w:rsidR="00F4055F" w:rsidRDefault="00F4055F" w:rsidP="00F4055F">
      <w:pPr>
        <w:pStyle w:val="EndnoteText"/>
        <w:jc w:val="center"/>
        <w:rPr>
          <w:sz w:val="40"/>
          <w:szCs w:val="40"/>
        </w:rPr>
      </w:pPr>
    </w:p>
    <w:p w14:paraId="6ACE06C2" w14:textId="289BED52" w:rsidR="00F4055F" w:rsidRPr="00F4055F" w:rsidRDefault="00F4055F" w:rsidP="00AC58DE">
      <w:pPr>
        <w:pStyle w:val="EndnoteText"/>
        <w:rPr>
          <w:rFonts w:ascii="Times New Roman" w:hAnsi="Times New Roman" w:cs="Times New Roman"/>
          <w:sz w:val="22"/>
          <w:szCs w:val="22"/>
        </w:rPr>
      </w:pPr>
    </w:p>
    <w:p w14:paraId="17CCB067" w14:textId="77777777" w:rsidR="00F4055F" w:rsidRPr="00F4055F" w:rsidRDefault="00F4055F" w:rsidP="00F4055F">
      <w:pPr>
        <w:pStyle w:val="EndnoteText"/>
        <w:rPr>
          <w:sz w:val="24"/>
          <w:szCs w:val="24"/>
        </w:rPr>
      </w:pPr>
    </w:p>
    <w:p w14:paraId="58EA2B3E" w14:textId="77777777" w:rsidR="00F4055F" w:rsidRDefault="00F4055F">
      <w:pPr>
        <w:pStyle w:val="EndnoteText"/>
      </w:pPr>
    </w:p>
    <w:p w14:paraId="299A88E2" w14:textId="77777777" w:rsidR="00F4055F" w:rsidRDefault="00F4055F">
      <w:pPr>
        <w:pStyle w:val="EndnoteText"/>
      </w:pPr>
    </w:p>
    <w:p w14:paraId="22D0F512" w14:textId="77777777" w:rsidR="00F4055F" w:rsidRDefault="00F4055F">
      <w:pPr>
        <w:pStyle w:val="EndnoteText"/>
      </w:pPr>
    </w:p>
    <w:p w14:paraId="20C03ED9" w14:textId="77777777" w:rsidR="00F4055F" w:rsidRDefault="00F4055F">
      <w:pPr>
        <w:pStyle w:val="EndnoteText"/>
      </w:pPr>
    </w:p>
    <w:p w14:paraId="1B4CC32E" w14:textId="77777777" w:rsidR="00F4055F" w:rsidRDefault="00F4055F">
      <w:pPr>
        <w:pStyle w:val="EndnoteText"/>
      </w:pPr>
    </w:p>
    <w:p w14:paraId="729F4EDD" w14:textId="77777777" w:rsidR="00F4055F" w:rsidRDefault="00F4055F">
      <w:pPr>
        <w:pStyle w:val="EndnoteText"/>
      </w:pPr>
    </w:p>
    <w:p w14:paraId="20DC32B6" w14:textId="242C4D39" w:rsidR="00F4055F" w:rsidRDefault="00F4055F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1335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F38A7" w14:textId="04394EF9" w:rsidR="006A3A34" w:rsidRDefault="006A3A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106BC" w14:textId="77777777" w:rsidR="006A3A34" w:rsidRDefault="006A3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4462" w14:textId="77777777" w:rsidR="00BF3024" w:rsidRDefault="00BF3024" w:rsidP="00B22762">
      <w:pPr>
        <w:spacing w:after="0" w:line="240" w:lineRule="auto"/>
      </w:pPr>
      <w:r>
        <w:separator/>
      </w:r>
    </w:p>
  </w:footnote>
  <w:footnote w:type="continuationSeparator" w:id="0">
    <w:p w14:paraId="270C27DB" w14:textId="77777777" w:rsidR="00BF3024" w:rsidRDefault="00BF3024" w:rsidP="00B22762">
      <w:pPr>
        <w:spacing w:after="0" w:line="240" w:lineRule="auto"/>
      </w:pPr>
      <w:r>
        <w:continuationSeparator/>
      </w:r>
    </w:p>
  </w:footnote>
  <w:footnote w:id="1">
    <w:p w14:paraId="35FD4697" w14:textId="48D98F27" w:rsidR="00B22762" w:rsidRDefault="00B227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672B98">
          <w:rPr>
            <w:rStyle w:val="Hyperlink"/>
          </w:rPr>
          <w:t>DWSRF DAC Definitions Report</w:t>
        </w:r>
        <w:r w:rsidR="00646757">
          <w:rPr>
            <w:rStyle w:val="Hyperlink"/>
          </w:rPr>
          <w:t xml:space="preserve"> </w:t>
        </w:r>
        <w:r w:rsidR="00672B98">
          <w:rPr>
            <w:rStyle w:val="Hyperlink"/>
          </w:rPr>
          <w:t>October 2022 Updates_FINAL_508.pdf (epa.gov)</w:t>
        </w:r>
      </w:hyperlink>
    </w:p>
  </w:footnote>
  <w:footnote w:id="2">
    <w:p w14:paraId="3B1B2B46" w14:textId="7C380CC7" w:rsidR="00A45D63" w:rsidRDefault="00A45D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D76743">
          <w:rPr>
            <w:rStyle w:val="Hyperlink"/>
          </w:rPr>
          <w:t>a Map of small water systems serving 10,000 or fewer people (SWRCB... | Download Scientific Diagram (researchgate.net)</w:t>
        </w:r>
      </w:hyperlink>
    </w:p>
  </w:footnote>
  <w:footnote w:id="3">
    <w:p w14:paraId="1AC84A2D" w14:textId="148AE2AB" w:rsidR="00E11FC4" w:rsidRDefault="00E11F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anchor=":~:text=The%20US%20Environmental%20Protection%20Agency%20%28USEPA%29%20expresses%20the,provide%20a%20way%20to%20analyze%20strengths%20and%20weaknesses." w:history="1">
        <w:r w:rsidR="00686CBD">
          <w:rPr>
            <w:rStyle w:val="Hyperlink"/>
          </w:rPr>
          <w:t>Assessing and Building the Technical, Managerial, and Financial Capacity of Your Wastewater Utility - Environmental Finance Center Network (efcnetwork.org)</w:t>
        </w:r>
      </w:hyperlink>
    </w:p>
  </w:footnote>
  <w:footnote w:id="4">
    <w:p w14:paraId="335D25AA" w14:textId="78E278C0" w:rsidR="00452BF1" w:rsidRDefault="00452B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D83725">
          <w:rPr>
            <w:rStyle w:val="Hyperlink"/>
          </w:rPr>
          <w:t>Op-ed: AV residents face more than their fair share of drinking water problems (theavtimes.com)</w:t>
        </w:r>
      </w:hyperlink>
    </w:p>
  </w:footnote>
  <w:footnote w:id="5">
    <w:p w14:paraId="4F77707D" w14:textId="13D9B885" w:rsidR="00452BF1" w:rsidRDefault="00452B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="008B0B4F">
          <w:rPr>
            <w:rStyle w:val="Hyperlink"/>
          </w:rPr>
          <w:t>Proposition 50 Funding for Public Water Systems | California State Water Resources Control Board</w:t>
        </w:r>
      </w:hyperlink>
    </w:p>
  </w:footnote>
  <w:footnote w:id="6">
    <w:p w14:paraId="135F7DE8" w14:textId="1E33093F" w:rsidR="00CF1121" w:rsidRDefault="00CF11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="000C187E">
          <w:rPr>
            <w:rStyle w:val="Hyperlink"/>
          </w:rPr>
          <w:t>Human Right to Water | California State Water Resources Control Board</w:t>
        </w:r>
      </w:hyperlink>
    </w:p>
  </w:footnote>
  <w:footnote w:id="7">
    <w:p w14:paraId="785154BA" w14:textId="434D7BBC" w:rsidR="003A7A04" w:rsidRDefault="003A7A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46DA5">
        <w:t xml:space="preserve">Olga Morales, RCAC, </w:t>
      </w:r>
      <w:r w:rsidR="00D45117">
        <w:t>personal communication</w:t>
      </w:r>
      <w:r w:rsidR="00C46DA5">
        <w:t xml:space="preserve"> with Green</w:t>
      </w:r>
      <w:r w:rsidR="00086094">
        <w:t>, Kennedy and Longley</w:t>
      </w:r>
    </w:p>
    <w:p w14:paraId="52E0692A" w14:textId="6B365771" w:rsidR="009A0108" w:rsidRDefault="009A0108">
      <w:pPr>
        <w:pStyle w:val="FootnoteText"/>
      </w:pPr>
      <w:r w:rsidRPr="009A0108">
        <w:t>https://drive.google.com/drive/folders/1eGprSoWULlPIwo0CNJVbjE7TQfg5iecZ?usp=sharing</w:t>
      </w:r>
    </w:p>
  </w:footnote>
  <w:footnote w:id="8">
    <w:p w14:paraId="2CB81B1F" w14:textId="3CBC9439" w:rsidR="005771C2" w:rsidRDefault="005771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anchor=":~:text=While%20California%20has%20the%20densest%20urbanization%2C%20it%20is,average%2C%20but%2022%20states%20have%20larger%20urbanization%20percentages." w:history="1">
        <w:r w:rsidR="00F14A1E">
          <w:rPr>
            <w:rStyle w:val="Hyperlink"/>
          </w:rPr>
          <w:t>America’s Most Urban States | Newgeography.com</w:t>
        </w:r>
      </w:hyperlink>
    </w:p>
  </w:footnote>
  <w:footnote w:id="9">
    <w:p w14:paraId="19094C69" w14:textId="0838B9A3" w:rsidR="006A10C9" w:rsidRDefault="006A10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="00D45117">
          <w:rPr>
            <w:rStyle w:val="Hyperlink"/>
          </w:rPr>
          <w:t>Agricultural_Loss_and_Conservation.pdf (ca.gov)</w:t>
        </w:r>
      </w:hyperlink>
    </w:p>
  </w:footnote>
  <w:footnote w:id="10">
    <w:p w14:paraId="477E7160" w14:textId="1EDEBCF5" w:rsidR="002C3C20" w:rsidRDefault="002C3C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="005B5BCF">
          <w:rPr>
            <w:rStyle w:val="Hyperlink"/>
          </w:rPr>
          <w:t>Codes Display Text (ca.gov)</w:t>
        </w:r>
      </w:hyperlink>
    </w:p>
  </w:footnote>
  <w:footnote w:id="11">
    <w:p w14:paraId="1008823D" w14:textId="077CBD97" w:rsidR="009F6D15" w:rsidRDefault="009F6D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61990">
        <w:t xml:space="preserve">There is no existing </w:t>
      </w:r>
      <w:r w:rsidR="00307D55">
        <w:t>California W</w:t>
      </w:r>
      <w:r w:rsidR="00461990">
        <w:t xml:space="preserve">ater </w:t>
      </w:r>
      <w:r w:rsidR="00DD2219">
        <w:t>C</w:t>
      </w:r>
      <w:r w:rsidR="00461990">
        <w:t>ode general act division</w:t>
      </w:r>
      <w:r w:rsidR="00C52E05">
        <w:t xml:space="preserve"> (</w:t>
      </w:r>
      <w:r w:rsidR="001D7A51">
        <w:t>§</w:t>
      </w:r>
      <w:r w:rsidR="00D35A81">
        <w:t>2050</w:t>
      </w:r>
      <w:r w:rsidR="004E661B">
        <w:t>0-76501)</w:t>
      </w:r>
      <w:r w:rsidR="00461990">
        <w:t xml:space="preserve"> that covers this proposal</w:t>
      </w:r>
      <w:r w:rsidR="00A11C7F">
        <w:t>, the closest is a County Water District but those agencies still have limitations</w:t>
      </w:r>
      <w:r w:rsidR="000A0473">
        <w:t xml:space="preserve"> inherent in the governing codes</w:t>
      </w:r>
      <w:r w:rsidR="00A11C7F">
        <w:t>. A</w:t>
      </w:r>
      <w:r w:rsidR="00461990">
        <w:t xml:space="preserve"> special district in this case would have to be a special act of the California Legislature or addition</w:t>
      </w:r>
      <w:r w:rsidR="000A0473">
        <w:t>s</w:t>
      </w:r>
      <w:r w:rsidR="00461990">
        <w:t xml:space="preserve"> to the general acts in the </w:t>
      </w:r>
      <w:r w:rsidR="00307D55">
        <w:t>W</w:t>
      </w:r>
      <w:r w:rsidR="00461990">
        <w:t xml:space="preserve">ater </w:t>
      </w:r>
      <w:r w:rsidR="00307D55">
        <w:t>C</w:t>
      </w:r>
      <w:r w:rsidR="00461990">
        <w:t>ode.</w:t>
      </w:r>
    </w:p>
  </w:footnote>
  <w:footnote w:id="12">
    <w:p w14:paraId="2F92EC2A" w14:textId="5B641CA8" w:rsidR="00843CF3" w:rsidRDefault="00843C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82E9E">
        <w:t>San Luis and Delta-Mendota Water Authority</w:t>
      </w:r>
      <w:r w:rsidR="005D6939">
        <w:t>, a JPA,</w:t>
      </w:r>
      <w:r w:rsidR="00682E9E">
        <w:t xml:space="preserve"> </w:t>
      </w:r>
      <w:r w:rsidR="008A23D5">
        <w:t>operates major delivery facilities for both agricultural and urban water agencies (</w:t>
      </w:r>
      <w:hyperlink r:id="rId10" w:history="1">
        <w:r w:rsidR="00D63208">
          <w:rPr>
            <w:rStyle w:val="Hyperlink"/>
          </w:rPr>
          <w:t>San Luis &amp; Delta-Mendota Water Authority – Using Water Wisely (sldmwa.org)</w:t>
        </w:r>
      </w:hyperlink>
      <w:r w:rsidR="005D6939">
        <w:t xml:space="preserve"> and the </w:t>
      </w:r>
      <w:r w:rsidR="00B936D7">
        <w:t>specially legislated district Bay Area Water Supply and Conservation Agency (BWSCA -</w:t>
      </w:r>
      <w:hyperlink r:id="rId11" w:history="1">
        <w:r w:rsidR="00482099">
          <w:rPr>
            <w:rStyle w:val="Hyperlink"/>
          </w:rPr>
          <w:t>Bay Area Water Supply &amp; Conservation Agency (bawsca.org)</w:t>
        </w:r>
      </w:hyperlink>
      <w:r w:rsidR="001F6F91">
        <w:t xml:space="preserve">, </w:t>
      </w:r>
      <w:hyperlink r:id="rId12" w:history="1">
        <w:r w:rsidR="00D20A7C">
          <w:rPr>
            <w:rStyle w:val="Hyperlink"/>
          </w:rPr>
          <w:t>Codes Display Text (ca.gov)</w:t>
        </w:r>
      </w:hyperlink>
    </w:p>
  </w:footnote>
  <w:footnote w:id="13">
    <w:p w14:paraId="3B24D728" w14:textId="4BC9F4E0" w:rsidR="00B252F5" w:rsidRDefault="00B252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3" w:history="1">
        <w:r w:rsidRPr="00B252F5">
          <w:rPr>
            <w:rStyle w:val="Hyperlink"/>
          </w:rPr>
          <w:t>https://www.ccwd.org/</w:t>
        </w:r>
      </w:hyperlink>
    </w:p>
  </w:footnote>
  <w:footnote w:id="14">
    <w:p w14:paraId="7BA909B9" w14:textId="1110C2D1" w:rsidR="00AC58DE" w:rsidRDefault="00AC58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4" w:history="1">
        <w:r w:rsidRPr="00AC58DE">
          <w:rPr>
            <w:rStyle w:val="Hyperlink"/>
          </w:rPr>
          <w:t>https://www.californiawater.org/2022/04/30/city-of-fresno-department-of-public-utilitiesregional-consolidation-feasibility-study/</w:t>
        </w:r>
      </w:hyperlink>
    </w:p>
  </w:footnote>
  <w:footnote w:id="15">
    <w:p w14:paraId="628657E9" w14:textId="5595D046" w:rsidR="00AC58DE" w:rsidRDefault="00AC58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4D6D">
        <w:t xml:space="preserve">Sativa </w:t>
      </w:r>
      <w:r w:rsidR="000A77E0">
        <w:t xml:space="preserve">report </w:t>
      </w:r>
      <w:r w:rsidR="00C346A5" w:rsidRPr="00C346A5">
        <w:t>https://drive.google.com/drive/folders/1eGprSoWULlPIwo0CNJVbjE7TQfg5iecZ?usp=sharing</w:t>
      </w:r>
    </w:p>
  </w:footnote>
  <w:footnote w:id="16">
    <w:p w14:paraId="03EEAD6B" w14:textId="0AC2088A" w:rsidR="00B46330" w:rsidRDefault="00B46330">
      <w:pPr>
        <w:pStyle w:val="FootnoteText"/>
      </w:pPr>
      <w:r>
        <w:rPr>
          <w:rStyle w:val="FootnoteReference"/>
        </w:rPr>
        <w:footnoteRef/>
      </w:r>
      <w:r>
        <w:t xml:space="preserve"> Ibid</w:t>
      </w:r>
      <w:r w:rsidR="00E87429">
        <w:t>, see 3</w:t>
      </w:r>
    </w:p>
  </w:footnote>
  <w:footnote w:id="17">
    <w:p w14:paraId="4D0B6C5F" w14:textId="47833B5C" w:rsidR="008610A5" w:rsidRDefault="003D43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5" w:anchor=":~:text=CUPSS%20is%20a%20free%2C%20easy-to-use%2C%20asset%20management%20tool,persons%29%20and%20medium-sized%20systems%20new%20to%20asset%20management." w:history="1">
        <w:r w:rsidR="008610A5">
          <w:rPr>
            <w:rStyle w:val="Hyperlink"/>
          </w:rPr>
          <w:t>Check-Up Program for Small Systems (CUPSS) Asset Management Tool | Building the Capacity of Drinking Water Systems | US EPA</w:t>
        </w:r>
      </w:hyperlink>
    </w:p>
  </w:footnote>
  <w:footnote w:id="18">
    <w:p w14:paraId="0C97456D" w14:textId="0FBB38AB" w:rsidR="001F2D0C" w:rsidRDefault="001F2D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6" w:history="1">
        <w:r w:rsidR="002F32E4">
          <w:rPr>
            <w:rStyle w:val="Hyperlink"/>
          </w:rPr>
          <w:t>LAIF (ca.gov)</w:t>
        </w:r>
      </w:hyperlink>
    </w:p>
  </w:footnote>
  <w:footnote w:id="19">
    <w:p w14:paraId="6A9A7B85" w14:textId="13058D86" w:rsidR="00FF4CCD" w:rsidRDefault="00FF4C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7" w:history="1">
        <w:r w:rsidR="00385134">
          <w:rPr>
            <w:rStyle w:val="Hyperlink"/>
          </w:rPr>
          <w:t>California clean water solutions will cost $11.5 billion - Los Angeles Times (latimes.com)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8321573"/>
      <w:docPartObj>
        <w:docPartGallery w:val="Watermarks"/>
        <w:docPartUnique/>
      </w:docPartObj>
    </w:sdtPr>
    <w:sdtEndPr/>
    <w:sdtContent>
      <w:p w14:paraId="478A2295" w14:textId="3ADA5A9E" w:rsidR="009D4B2E" w:rsidRDefault="00BD0D86">
        <w:pPr>
          <w:pStyle w:val="Header"/>
        </w:pPr>
        <w:r>
          <w:rPr>
            <w:noProof/>
          </w:rPr>
          <w:pict w14:anchorId="1A37EA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7A70"/>
    <w:multiLevelType w:val="hybridMultilevel"/>
    <w:tmpl w:val="0E60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448C"/>
    <w:multiLevelType w:val="hybridMultilevel"/>
    <w:tmpl w:val="C0F6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654C"/>
    <w:multiLevelType w:val="hybridMultilevel"/>
    <w:tmpl w:val="91A634E4"/>
    <w:lvl w:ilvl="0" w:tplc="96B4F5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8A66E8"/>
    <w:multiLevelType w:val="hybridMultilevel"/>
    <w:tmpl w:val="49F843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666589390">
    <w:abstractNumId w:val="2"/>
  </w:num>
  <w:num w:numId="2" w16cid:durableId="948200848">
    <w:abstractNumId w:val="1"/>
  </w:num>
  <w:num w:numId="3" w16cid:durableId="1557400842">
    <w:abstractNumId w:val="3"/>
  </w:num>
  <w:num w:numId="4" w16cid:durableId="104622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D"/>
    <w:rsid w:val="00001859"/>
    <w:rsid w:val="000135FE"/>
    <w:rsid w:val="00013783"/>
    <w:rsid w:val="000241A1"/>
    <w:rsid w:val="00027E66"/>
    <w:rsid w:val="00032CDD"/>
    <w:rsid w:val="00033844"/>
    <w:rsid w:val="00034125"/>
    <w:rsid w:val="000344FB"/>
    <w:rsid w:val="00035647"/>
    <w:rsid w:val="000443BA"/>
    <w:rsid w:val="00045690"/>
    <w:rsid w:val="00046480"/>
    <w:rsid w:val="00052432"/>
    <w:rsid w:val="000550D7"/>
    <w:rsid w:val="00057CAC"/>
    <w:rsid w:val="00057F47"/>
    <w:rsid w:val="0006042E"/>
    <w:rsid w:val="00062D86"/>
    <w:rsid w:val="000671BE"/>
    <w:rsid w:val="000675E8"/>
    <w:rsid w:val="000706B5"/>
    <w:rsid w:val="00071BBD"/>
    <w:rsid w:val="000800A5"/>
    <w:rsid w:val="00086094"/>
    <w:rsid w:val="00091E37"/>
    <w:rsid w:val="00094E28"/>
    <w:rsid w:val="000A0473"/>
    <w:rsid w:val="000A0AE4"/>
    <w:rsid w:val="000A77E0"/>
    <w:rsid w:val="000A7E32"/>
    <w:rsid w:val="000B52DD"/>
    <w:rsid w:val="000B6905"/>
    <w:rsid w:val="000C187E"/>
    <w:rsid w:val="000C54D7"/>
    <w:rsid w:val="000D0ABF"/>
    <w:rsid w:val="000D4177"/>
    <w:rsid w:val="000E5005"/>
    <w:rsid w:val="000F1B8B"/>
    <w:rsid w:val="000F52EC"/>
    <w:rsid w:val="001008EB"/>
    <w:rsid w:val="00102CEE"/>
    <w:rsid w:val="001120D7"/>
    <w:rsid w:val="001144EC"/>
    <w:rsid w:val="001218A6"/>
    <w:rsid w:val="00123AE2"/>
    <w:rsid w:val="00123D25"/>
    <w:rsid w:val="001249D5"/>
    <w:rsid w:val="001303EB"/>
    <w:rsid w:val="00143220"/>
    <w:rsid w:val="00144679"/>
    <w:rsid w:val="00146FA7"/>
    <w:rsid w:val="0015000C"/>
    <w:rsid w:val="001525CD"/>
    <w:rsid w:val="00152B1C"/>
    <w:rsid w:val="00157CCC"/>
    <w:rsid w:val="00161E0D"/>
    <w:rsid w:val="00162542"/>
    <w:rsid w:val="00167C48"/>
    <w:rsid w:val="00170149"/>
    <w:rsid w:val="00174073"/>
    <w:rsid w:val="0018033F"/>
    <w:rsid w:val="001827BF"/>
    <w:rsid w:val="00187277"/>
    <w:rsid w:val="00195034"/>
    <w:rsid w:val="001A1688"/>
    <w:rsid w:val="001A7D9A"/>
    <w:rsid w:val="001B3650"/>
    <w:rsid w:val="001B5E19"/>
    <w:rsid w:val="001C3688"/>
    <w:rsid w:val="001C526E"/>
    <w:rsid w:val="001C7056"/>
    <w:rsid w:val="001D0C9A"/>
    <w:rsid w:val="001D7A51"/>
    <w:rsid w:val="001E4F2B"/>
    <w:rsid w:val="001F2D0C"/>
    <w:rsid w:val="001F6F91"/>
    <w:rsid w:val="00200AAE"/>
    <w:rsid w:val="002102E6"/>
    <w:rsid w:val="00212C08"/>
    <w:rsid w:val="002135DE"/>
    <w:rsid w:val="002141AE"/>
    <w:rsid w:val="00214564"/>
    <w:rsid w:val="00214B70"/>
    <w:rsid w:val="002160BD"/>
    <w:rsid w:val="00217ED5"/>
    <w:rsid w:val="002321F4"/>
    <w:rsid w:val="00241D43"/>
    <w:rsid w:val="00246121"/>
    <w:rsid w:val="00254989"/>
    <w:rsid w:val="00256C22"/>
    <w:rsid w:val="00261BBB"/>
    <w:rsid w:val="0026391D"/>
    <w:rsid w:val="00277DDE"/>
    <w:rsid w:val="002832AB"/>
    <w:rsid w:val="002842BB"/>
    <w:rsid w:val="00295770"/>
    <w:rsid w:val="0029798B"/>
    <w:rsid w:val="002A2220"/>
    <w:rsid w:val="002A22D9"/>
    <w:rsid w:val="002A5AD5"/>
    <w:rsid w:val="002A6E7D"/>
    <w:rsid w:val="002A79E8"/>
    <w:rsid w:val="002B1060"/>
    <w:rsid w:val="002B16C3"/>
    <w:rsid w:val="002C3C20"/>
    <w:rsid w:val="002D3AE0"/>
    <w:rsid w:val="002D43C0"/>
    <w:rsid w:val="002D6046"/>
    <w:rsid w:val="002D627C"/>
    <w:rsid w:val="002E4495"/>
    <w:rsid w:val="002F32E4"/>
    <w:rsid w:val="00305CA9"/>
    <w:rsid w:val="00305CAC"/>
    <w:rsid w:val="00306BD7"/>
    <w:rsid w:val="00307D55"/>
    <w:rsid w:val="0031363D"/>
    <w:rsid w:val="003146CF"/>
    <w:rsid w:val="00314C4A"/>
    <w:rsid w:val="00314F08"/>
    <w:rsid w:val="0031571D"/>
    <w:rsid w:val="0032127E"/>
    <w:rsid w:val="0032553C"/>
    <w:rsid w:val="00326ECC"/>
    <w:rsid w:val="0033432E"/>
    <w:rsid w:val="00346EB0"/>
    <w:rsid w:val="00346EC1"/>
    <w:rsid w:val="00350D49"/>
    <w:rsid w:val="003547CC"/>
    <w:rsid w:val="00361DDE"/>
    <w:rsid w:val="00367384"/>
    <w:rsid w:val="00367D75"/>
    <w:rsid w:val="00367EB6"/>
    <w:rsid w:val="003715A1"/>
    <w:rsid w:val="00373C6B"/>
    <w:rsid w:val="00375FF8"/>
    <w:rsid w:val="00377933"/>
    <w:rsid w:val="00380A6B"/>
    <w:rsid w:val="00385134"/>
    <w:rsid w:val="00393F5F"/>
    <w:rsid w:val="003948E6"/>
    <w:rsid w:val="00396D32"/>
    <w:rsid w:val="003A0FE2"/>
    <w:rsid w:val="003A1C90"/>
    <w:rsid w:val="003A7A04"/>
    <w:rsid w:val="003B1B9B"/>
    <w:rsid w:val="003B5197"/>
    <w:rsid w:val="003B5DBA"/>
    <w:rsid w:val="003B606F"/>
    <w:rsid w:val="003B7D6F"/>
    <w:rsid w:val="003C480B"/>
    <w:rsid w:val="003C6EE2"/>
    <w:rsid w:val="003D43B4"/>
    <w:rsid w:val="003D44FC"/>
    <w:rsid w:val="003D5C86"/>
    <w:rsid w:val="003D67FB"/>
    <w:rsid w:val="003D7266"/>
    <w:rsid w:val="003E18DB"/>
    <w:rsid w:val="003E3C70"/>
    <w:rsid w:val="003E497E"/>
    <w:rsid w:val="003E6D28"/>
    <w:rsid w:val="003E73AA"/>
    <w:rsid w:val="003F48A3"/>
    <w:rsid w:val="003F798D"/>
    <w:rsid w:val="00400CEB"/>
    <w:rsid w:val="004019F9"/>
    <w:rsid w:val="00401EE6"/>
    <w:rsid w:val="00403C25"/>
    <w:rsid w:val="00403FF3"/>
    <w:rsid w:val="00406752"/>
    <w:rsid w:val="004067B5"/>
    <w:rsid w:val="004103F0"/>
    <w:rsid w:val="00410B53"/>
    <w:rsid w:val="00410F31"/>
    <w:rsid w:val="0041329A"/>
    <w:rsid w:val="00425292"/>
    <w:rsid w:val="00426FFA"/>
    <w:rsid w:val="0043321E"/>
    <w:rsid w:val="004342BD"/>
    <w:rsid w:val="00436BAE"/>
    <w:rsid w:val="00442AFC"/>
    <w:rsid w:val="00443D44"/>
    <w:rsid w:val="00444041"/>
    <w:rsid w:val="00452BF1"/>
    <w:rsid w:val="00455EC3"/>
    <w:rsid w:val="004568F3"/>
    <w:rsid w:val="004575EC"/>
    <w:rsid w:val="00457972"/>
    <w:rsid w:val="00461990"/>
    <w:rsid w:val="004645CE"/>
    <w:rsid w:val="00466C3A"/>
    <w:rsid w:val="004766CE"/>
    <w:rsid w:val="00482099"/>
    <w:rsid w:val="004908CC"/>
    <w:rsid w:val="004923EA"/>
    <w:rsid w:val="00494257"/>
    <w:rsid w:val="004A37E1"/>
    <w:rsid w:val="004A4E43"/>
    <w:rsid w:val="004A6E81"/>
    <w:rsid w:val="004B1D8E"/>
    <w:rsid w:val="004B503D"/>
    <w:rsid w:val="004C0F62"/>
    <w:rsid w:val="004C2B82"/>
    <w:rsid w:val="004C3D6B"/>
    <w:rsid w:val="004C4287"/>
    <w:rsid w:val="004C4FAA"/>
    <w:rsid w:val="004C5487"/>
    <w:rsid w:val="004D0191"/>
    <w:rsid w:val="004D6602"/>
    <w:rsid w:val="004E2B1B"/>
    <w:rsid w:val="004E3AFF"/>
    <w:rsid w:val="004E661B"/>
    <w:rsid w:val="004F0477"/>
    <w:rsid w:val="004F10F6"/>
    <w:rsid w:val="004F2718"/>
    <w:rsid w:val="004F2DE6"/>
    <w:rsid w:val="004F30B1"/>
    <w:rsid w:val="004F42B7"/>
    <w:rsid w:val="004F6D30"/>
    <w:rsid w:val="00500E3F"/>
    <w:rsid w:val="00504AEF"/>
    <w:rsid w:val="0052050F"/>
    <w:rsid w:val="00520AFA"/>
    <w:rsid w:val="00526478"/>
    <w:rsid w:val="00533B3F"/>
    <w:rsid w:val="00536509"/>
    <w:rsid w:val="00540166"/>
    <w:rsid w:val="005478DA"/>
    <w:rsid w:val="005514A9"/>
    <w:rsid w:val="005557A8"/>
    <w:rsid w:val="00561158"/>
    <w:rsid w:val="00563335"/>
    <w:rsid w:val="00563C5E"/>
    <w:rsid w:val="0057038D"/>
    <w:rsid w:val="00573361"/>
    <w:rsid w:val="005738FB"/>
    <w:rsid w:val="00574224"/>
    <w:rsid w:val="00577165"/>
    <w:rsid w:val="005771C2"/>
    <w:rsid w:val="00577C83"/>
    <w:rsid w:val="005800E8"/>
    <w:rsid w:val="00583896"/>
    <w:rsid w:val="005945B5"/>
    <w:rsid w:val="00594B29"/>
    <w:rsid w:val="00595400"/>
    <w:rsid w:val="00596EA2"/>
    <w:rsid w:val="005A05B9"/>
    <w:rsid w:val="005A39A0"/>
    <w:rsid w:val="005A3AE3"/>
    <w:rsid w:val="005B4372"/>
    <w:rsid w:val="005B5BCF"/>
    <w:rsid w:val="005C3109"/>
    <w:rsid w:val="005C666C"/>
    <w:rsid w:val="005D01E8"/>
    <w:rsid w:val="005D0E4F"/>
    <w:rsid w:val="005D4499"/>
    <w:rsid w:val="005D4AD2"/>
    <w:rsid w:val="005D6939"/>
    <w:rsid w:val="005E0077"/>
    <w:rsid w:val="005E2106"/>
    <w:rsid w:val="005E2711"/>
    <w:rsid w:val="005E4E35"/>
    <w:rsid w:val="005E5A33"/>
    <w:rsid w:val="005E60B5"/>
    <w:rsid w:val="005F5536"/>
    <w:rsid w:val="005F7E7B"/>
    <w:rsid w:val="00600F2C"/>
    <w:rsid w:val="006015A4"/>
    <w:rsid w:val="00611BD2"/>
    <w:rsid w:val="00613937"/>
    <w:rsid w:val="00616075"/>
    <w:rsid w:val="00633964"/>
    <w:rsid w:val="00635CEE"/>
    <w:rsid w:val="006415CE"/>
    <w:rsid w:val="00646757"/>
    <w:rsid w:val="00652A97"/>
    <w:rsid w:val="0065504A"/>
    <w:rsid w:val="006565BE"/>
    <w:rsid w:val="00656C40"/>
    <w:rsid w:val="00663112"/>
    <w:rsid w:val="00663C83"/>
    <w:rsid w:val="0066594B"/>
    <w:rsid w:val="006661AC"/>
    <w:rsid w:val="00667063"/>
    <w:rsid w:val="00667544"/>
    <w:rsid w:val="00667556"/>
    <w:rsid w:val="00671468"/>
    <w:rsid w:val="00672B98"/>
    <w:rsid w:val="00672CBB"/>
    <w:rsid w:val="00673991"/>
    <w:rsid w:val="006748FE"/>
    <w:rsid w:val="00676438"/>
    <w:rsid w:val="00682E9E"/>
    <w:rsid w:val="006855A7"/>
    <w:rsid w:val="00686CBD"/>
    <w:rsid w:val="00690C3B"/>
    <w:rsid w:val="006948CD"/>
    <w:rsid w:val="006A0FE4"/>
    <w:rsid w:val="006A10C9"/>
    <w:rsid w:val="006A35D6"/>
    <w:rsid w:val="006A3A34"/>
    <w:rsid w:val="006A42A4"/>
    <w:rsid w:val="006A4964"/>
    <w:rsid w:val="006B1D7C"/>
    <w:rsid w:val="006B5121"/>
    <w:rsid w:val="006B7035"/>
    <w:rsid w:val="006C0161"/>
    <w:rsid w:val="006C306B"/>
    <w:rsid w:val="006C789D"/>
    <w:rsid w:val="006D2A78"/>
    <w:rsid w:val="006E0B24"/>
    <w:rsid w:val="006F17B2"/>
    <w:rsid w:val="00703344"/>
    <w:rsid w:val="00707F2A"/>
    <w:rsid w:val="0071091B"/>
    <w:rsid w:val="00715A93"/>
    <w:rsid w:val="007178B2"/>
    <w:rsid w:val="007205DD"/>
    <w:rsid w:val="00725A58"/>
    <w:rsid w:val="00731906"/>
    <w:rsid w:val="00732ECB"/>
    <w:rsid w:val="0074081B"/>
    <w:rsid w:val="007427B4"/>
    <w:rsid w:val="00744C9F"/>
    <w:rsid w:val="00750646"/>
    <w:rsid w:val="00751708"/>
    <w:rsid w:val="00755D78"/>
    <w:rsid w:val="0077372A"/>
    <w:rsid w:val="00773AAD"/>
    <w:rsid w:val="00775E60"/>
    <w:rsid w:val="00777518"/>
    <w:rsid w:val="00777F33"/>
    <w:rsid w:val="00783DC9"/>
    <w:rsid w:val="00785A8A"/>
    <w:rsid w:val="00785EB5"/>
    <w:rsid w:val="00797D93"/>
    <w:rsid w:val="007A57DB"/>
    <w:rsid w:val="007B77E3"/>
    <w:rsid w:val="007C0143"/>
    <w:rsid w:val="007C056F"/>
    <w:rsid w:val="007C6D09"/>
    <w:rsid w:val="007D31C1"/>
    <w:rsid w:val="007D76C3"/>
    <w:rsid w:val="007E7546"/>
    <w:rsid w:val="007F520E"/>
    <w:rsid w:val="00816168"/>
    <w:rsid w:val="008162F8"/>
    <w:rsid w:val="0082212E"/>
    <w:rsid w:val="00832C76"/>
    <w:rsid w:val="0084160D"/>
    <w:rsid w:val="00843CF3"/>
    <w:rsid w:val="008508A6"/>
    <w:rsid w:val="008508DD"/>
    <w:rsid w:val="0085203F"/>
    <w:rsid w:val="00852D9D"/>
    <w:rsid w:val="00855829"/>
    <w:rsid w:val="00857735"/>
    <w:rsid w:val="008610A5"/>
    <w:rsid w:val="008647DD"/>
    <w:rsid w:val="008670B1"/>
    <w:rsid w:val="0087317A"/>
    <w:rsid w:val="00876563"/>
    <w:rsid w:val="00880BED"/>
    <w:rsid w:val="00885CB1"/>
    <w:rsid w:val="00887E43"/>
    <w:rsid w:val="00892E9A"/>
    <w:rsid w:val="008A23D5"/>
    <w:rsid w:val="008A3017"/>
    <w:rsid w:val="008A67CE"/>
    <w:rsid w:val="008B0B4F"/>
    <w:rsid w:val="008B6D21"/>
    <w:rsid w:val="008B79C9"/>
    <w:rsid w:val="008E276E"/>
    <w:rsid w:val="008E439C"/>
    <w:rsid w:val="008E5857"/>
    <w:rsid w:val="008F55D5"/>
    <w:rsid w:val="008F5A78"/>
    <w:rsid w:val="008F7D59"/>
    <w:rsid w:val="00906113"/>
    <w:rsid w:val="00914F4E"/>
    <w:rsid w:val="00920399"/>
    <w:rsid w:val="00934D6C"/>
    <w:rsid w:val="00936B58"/>
    <w:rsid w:val="00945B97"/>
    <w:rsid w:val="00953FAF"/>
    <w:rsid w:val="009610CF"/>
    <w:rsid w:val="00961A55"/>
    <w:rsid w:val="00962B64"/>
    <w:rsid w:val="00972F4C"/>
    <w:rsid w:val="009779C4"/>
    <w:rsid w:val="00977E7B"/>
    <w:rsid w:val="00981649"/>
    <w:rsid w:val="00990178"/>
    <w:rsid w:val="00996D89"/>
    <w:rsid w:val="009A0108"/>
    <w:rsid w:val="009A0EAC"/>
    <w:rsid w:val="009A17EA"/>
    <w:rsid w:val="009A3528"/>
    <w:rsid w:val="009A68BD"/>
    <w:rsid w:val="009B4151"/>
    <w:rsid w:val="009B47E0"/>
    <w:rsid w:val="009B5ECF"/>
    <w:rsid w:val="009B6259"/>
    <w:rsid w:val="009B6E73"/>
    <w:rsid w:val="009C1D17"/>
    <w:rsid w:val="009D4B2E"/>
    <w:rsid w:val="009D7E16"/>
    <w:rsid w:val="009E19F3"/>
    <w:rsid w:val="009E65CB"/>
    <w:rsid w:val="009E6712"/>
    <w:rsid w:val="009F1F48"/>
    <w:rsid w:val="009F6449"/>
    <w:rsid w:val="009F6D15"/>
    <w:rsid w:val="00A11C7F"/>
    <w:rsid w:val="00A132C9"/>
    <w:rsid w:val="00A154F0"/>
    <w:rsid w:val="00A177BF"/>
    <w:rsid w:val="00A17E54"/>
    <w:rsid w:val="00A20D83"/>
    <w:rsid w:val="00A22CC3"/>
    <w:rsid w:val="00A22E09"/>
    <w:rsid w:val="00A24D80"/>
    <w:rsid w:val="00A25770"/>
    <w:rsid w:val="00A26A76"/>
    <w:rsid w:val="00A334F3"/>
    <w:rsid w:val="00A36206"/>
    <w:rsid w:val="00A41D14"/>
    <w:rsid w:val="00A45D63"/>
    <w:rsid w:val="00A514E4"/>
    <w:rsid w:val="00A55C56"/>
    <w:rsid w:val="00A57B64"/>
    <w:rsid w:val="00A609B2"/>
    <w:rsid w:val="00A619A2"/>
    <w:rsid w:val="00A701CD"/>
    <w:rsid w:val="00A830BF"/>
    <w:rsid w:val="00A85372"/>
    <w:rsid w:val="00A92592"/>
    <w:rsid w:val="00A92BC2"/>
    <w:rsid w:val="00A96EB4"/>
    <w:rsid w:val="00AA0AB3"/>
    <w:rsid w:val="00AA4D23"/>
    <w:rsid w:val="00AB6320"/>
    <w:rsid w:val="00AC58DE"/>
    <w:rsid w:val="00AD117A"/>
    <w:rsid w:val="00AD34F2"/>
    <w:rsid w:val="00AE3448"/>
    <w:rsid w:val="00AE4F40"/>
    <w:rsid w:val="00AE54E8"/>
    <w:rsid w:val="00AF7461"/>
    <w:rsid w:val="00B02950"/>
    <w:rsid w:val="00B054D0"/>
    <w:rsid w:val="00B06765"/>
    <w:rsid w:val="00B06E20"/>
    <w:rsid w:val="00B135E1"/>
    <w:rsid w:val="00B15A29"/>
    <w:rsid w:val="00B17370"/>
    <w:rsid w:val="00B22762"/>
    <w:rsid w:val="00B252F5"/>
    <w:rsid w:val="00B2643A"/>
    <w:rsid w:val="00B270ED"/>
    <w:rsid w:val="00B30826"/>
    <w:rsid w:val="00B30E3E"/>
    <w:rsid w:val="00B345A1"/>
    <w:rsid w:val="00B413B3"/>
    <w:rsid w:val="00B44D6D"/>
    <w:rsid w:val="00B46330"/>
    <w:rsid w:val="00B476E4"/>
    <w:rsid w:val="00B4786F"/>
    <w:rsid w:val="00B52607"/>
    <w:rsid w:val="00B55BDC"/>
    <w:rsid w:val="00B560A2"/>
    <w:rsid w:val="00B8032D"/>
    <w:rsid w:val="00B82A5E"/>
    <w:rsid w:val="00B845F2"/>
    <w:rsid w:val="00B85659"/>
    <w:rsid w:val="00B936D7"/>
    <w:rsid w:val="00BA076F"/>
    <w:rsid w:val="00BA1271"/>
    <w:rsid w:val="00BB5015"/>
    <w:rsid w:val="00BB6A4D"/>
    <w:rsid w:val="00BB717E"/>
    <w:rsid w:val="00BC0364"/>
    <w:rsid w:val="00BC1A67"/>
    <w:rsid w:val="00BC2BE4"/>
    <w:rsid w:val="00BC6DB4"/>
    <w:rsid w:val="00BD0D86"/>
    <w:rsid w:val="00BD3B03"/>
    <w:rsid w:val="00BD4BC0"/>
    <w:rsid w:val="00BD7314"/>
    <w:rsid w:val="00BE3A18"/>
    <w:rsid w:val="00BE3D2D"/>
    <w:rsid w:val="00BF2ABD"/>
    <w:rsid w:val="00BF3024"/>
    <w:rsid w:val="00BF5111"/>
    <w:rsid w:val="00BF7450"/>
    <w:rsid w:val="00C03517"/>
    <w:rsid w:val="00C053AF"/>
    <w:rsid w:val="00C11530"/>
    <w:rsid w:val="00C139F2"/>
    <w:rsid w:val="00C17995"/>
    <w:rsid w:val="00C22D00"/>
    <w:rsid w:val="00C26F34"/>
    <w:rsid w:val="00C325D1"/>
    <w:rsid w:val="00C34178"/>
    <w:rsid w:val="00C346A5"/>
    <w:rsid w:val="00C35E3F"/>
    <w:rsid w:val="00C3626D"/>
    <w:rsid w:val="00C36C37"/>
    <w:rsid w:val="00C41886"/>
    <w:rsid w:val="00C440B8"/>
    <w:rsid w:val="00C46207"/>
    <w:rsid w:val="00C46DA5"/>
    <w:rsid w:val="00C50F94"/>
    <w:rsid w:val="00C519D9"/>
    <w:rsid w:val="00C52E05"/>
    <w:rsid w:val="00C5428E"/>
    <w:rsid w:val="00C6269D"/>
    <w:rsid w:val="00C64ABE"/>
    <w:rsid w:val="00C7565B"/>
    <w:rsid w:val="00C756DD"/>
    <w:rsid w:val="00C81148"/>
    <w:rsid w:val="00C851FC"/>
    <w:rsid w:val="00C8647C"/>
    <w:rsid w:val="00C92261"/>
    <w:rsid w:val="00C92D78"/>
    <w:rsid w:val="00CA4DC2"/>
    <w:rsid w:val="00CB60F9"/>
    <w:rsid w:val="00CB67DA"/>
    <w:rsid w:val="00CB7EF0"/>
    <w:rsid w:val="00CC0576"/>
    <w:rsid w:val="00CC377D"/>
    <w:rsid w:val="00CD4E22"/>
    <w:rsid w:val="00CD6BAD"/>
    <w:rsid w:val="00CE6D93"/>
    <w:rsid w:val="00CE70EC"/>
    <w:rsid w:val="00CF0F6C"/>
    <w:rsid w:val="00CF1121"/>
    <w:rsid w:val="00CF3DFE"/>
    <w:rsid w:val="00CF7222"/>
    <w:rsid w:val="00D02692"/>
    <w:rsid w:val="00D04906"/>
    <w:rsid w:val="00D055A7"/>
    <w:rsid w:val="00D0669B"/>
    <w:rsid w:val="00D114A7"/>
    <w:rsid w:val="00D12829"/>
    <w:rsid w:val="00D1572E"/>
    <w:rsid w:val="00D15B14"/>
    <w:rsid w:val="00D20A7C"/>
    <w:rsid w:val="00D2169D"/>
    <w:rsid w:val="00D22A9B"/>
    <w:rsid w:val="00D24F81"/>
    <w:rsid w:val="00D25552"/>
    <w:rsid w:val="00D25DD3"/>
    <w:rsid w:val="00D275E5"/>
    <w:rsid w:val="00D27AA5"/>
    <w:rsid w:val="00D35A81"/>
    <w:rsid w:val="00D371AE"/>
    <w:rsid w:val="00D4110D"/>
    <w:rsid w:val="00D414A4"/>
    <w:rsid w:val="00D442AF"/>
    <w:rsid w:val="00D45117"/>
    <w:rsid w:val="00D51B5D"/>
    <w:rsid w:val="00D51E20"/>
    <w:rsid w:val="00D5505A"/>
    <w:rsid w:val="00D56C19"/>
    <w:rsid w:val="00D6016F"/>
    <w:rsid w:val="00D62053"/>
    <w:rsid w:val="00D63208"/>
    <w:rsid w:val="00D650F1"/>
    <w:rsid w:val="00D72F0E"/>
    <w:rsid w:val="00D74B2A"/>
    <w:rsid w:val="00D76743"/>
    <w:rsid w:val="00D825A9"/>
    <w:rsid w:val="00D83725"/>
    <w:rsid w:val="00D843C9"/>
    <w:rsid w:val="00DA680C"/>
    <w:rsid w:val="00DB781D"/>
    <w:rsid w:val="00DD2219"/>
    <w:rsid w:val="00DD42AE"/>
    <w:rsid w:val="00DD4AE6"/>
    <w:rsid w:val="00DE19CA"/>
    <w:rsid w:val="00DE2093"/>
    <w:rsid w:val="00DF0E32"/>
    <w:rsid w:val="00DF212E"/>
    <w:rsid w:val="00DF3681"/>
    <w:rsid w:val="00DF631C"/>
    <w:rsid w:val="00DF7FB4"/>
    <w:rsid w:val="00E107B9"/>
    <w:rsid w:val="00E11FC4"/>
    <w:rsid w:val="00E13AE6"/>
    <w:rsid w:val="00E22EA1"/>
    <w:rsid w:val="00E2355C"/>
    <w:rsid w:val="00E25032"/>
    <w:rsid w:val="00E320E4"/>
    <w:rsid w:val="00E3772B"/>
    <w:rsid w:val="00E43234"/>
    <w:rsid w:val="00E44ACB"/>
    <w:rsid w:val="00E45C86"/>
    <w:rsid w:val="00E45EAD"/>
    <w:rsid w:val="00E52108"/>
    <w:rsid w:val="00E547B5"/>
    <w:rsid w:val="00E55CD3"/>
    <w:rsid w:val="00E572CB"/>
    <w:rsid w:val="00E60038"/>
    <w:rsid w:val="00E65115"/>
    <w:rsid w:val="00E66422"/>
    <w:rsid w:val="00E67336"/>
    <w:rsid w:val="00E741E1"/>
    <w:rsid w:val="00E74DB7"/>
    <w:rsid w:val="00E7638F"/>
    <w:rsid w:val="00E80EFB"/>
    <w:rsid w:val="00E87429"/>
    <w:rsid w:val="00E90188"/>
    <w:rsid w:val="00EB6A8B"/>
    <w:rsid w:val="00EB6CE6"/>
    <w:rsid w:val="00EC2078"/>
    <w:rsid w:val="00ED12AA"/>
    <w:rsid w:val="00ED2413"/>
    <w:rsid w:val="00ED402D"/>
    <w:rsid w:val="00ED5B71"/>
    <w:rsid w:val="00ED62FC"/>
    <w:rsid w:val="00ED7F01"/>
    <w:rsid w:val="00EE0A8D"/>
    <w:rsid w:val="00EE4F10"/>
    <w:rsid w:val="00EE5629"/>
    <w:rsid w:val="00EE6E0B"/>
    <w:rsid w:val="00EF1E34"/>
    <w:rsid w:val="00EF2403"/>
    <w:rsid w:val="00EF3F72"/>
    <w:rsid w:val="00F0272D"/>
    <w:rsid w:val="00F03953"/>
    <w:rsid w:val="00F06FE1"/>
    <w:rsid w:val="00F133BE"/>
    <w:rsid w:val="00F14709"/>
    <w:rsid w:val="00F14A1E"/>
    <w:rsid w:val="00F22746"/>
    <w:rsid w:val="00F242CF"/>
    <w:rsid w:val="00F4055F"/>
    <w:rsid w:val="00F409A0"/>
    <w:rsid w:val="00F5282C"/>
    <w:rsid w:val="00F60C4F"/>
    <w:rsid w:val="00F60E94"/>
    <w:rsid w:val="00F64815"/>
    <w:rsid w:val="00F764F1"/>
    <w:rsid w:val="00F775A8"/>
    <w:rsid w:val="00F80FEB"/>
    <w:rsid w:val="00F82C19"/>
    <w:rsid w:val="00F83F71"/>
    <w:rsid w:val="00F84E65"/>
    <w:rsid w:val="00F851DD"/>
    <w:rsid w:val="00F87DB0"/>
    <w:rsid w:val="00F91447"/>
    <w:rsid w:val="00FA2272"/>
    <w:rsid w:val="00FA25CA"/>
    <w:rsid w:val="00FB1CFF"/>
    <w:rsid w:val="00FB411A"/>
    <w:rsid w:val="00FB5D31"/>
    <w:rsid w:val="00FB5DC9"/>
    <w:rsid w:val="00FC66C6"/>
    <w:rsid w:val="00FC67E4"/>
    <w:rsid w:val="00FD1F2E"/>
    <w:rsid w:val="00FD45F2"/>
    <w:rsid w:val="00FE5F45"/>
    <w:rsid w:val="00FF4CCD"/>
    <w:rsid w:val="00FF4FAC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62AFB"/>
  <w15:chartTrackingRefBased/>
  <w15:docId w15:val="{B534E603-A2DB-4DA1-B42F-57C6E475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EA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2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7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EC3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12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12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12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A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34"/>
  </w:style>
  <w:style w:type="paragraph" w:styleId="Footer">
    <w:name w:val="footer"/>
    <w:basedOn w:val="Normal"/>
    <w:link w:val="FooterChar"/>
    <w:uiPriority w:val="99"/>
    <w:unhideWhenUsed/>
    <w:rsid w:val="006A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34"/>
  </w:style>
  <w:style w:type="character" w:styleId="UnresolvedMention">
    <w:name w:val="Unresolved Mention"/>
    <w:basedOn w:val="DefaultParagraphFont"/>
    <w:uiPriority w:val="99"/>
    <w:semiHidden/>
    <w:unhideWhenUsed/>
    <w:rsid w:val="00AC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fa.ca.gov/agvision/docs/Agricultural_Loss_and_Conservation.pdf" TargetMode="External"/><Relationship Id="rId13" Type="http://schemas.openxmlformats.org/officeDocument/2006/relationships/hyperlink" Target="https://www.ccwd.org/" TargetMode="External"/><Relationship Id="rId3" Type="http://schemas.openxmlformats.org/officeDocument/2006/relationships/hyperlink" Target="https://efcnetwork.org/assessing-and-building-the-technical-managerial-and-financial-capacity-of-your-wastewater-utility/" TargetMode="External"/><Relationship Id="rId7" Type="http://schemas.openxmlformats.org/officeDocument/2006/relationships/hyperlink" Target="https://www.newgeography.com/content/005187-america-s-most-urban-states" TargetMode="External"/><Relationship Id="rId12" Type="http://schemas.openxmlformats.org/officeDocument/2006/relationships/hyperlink" Target="https://leginfo.legislature.ca.gov/faces/codes_displayText.xhtml?lawCode=WAT&amp;division=20.5.&amp;title=&amp;part=&amp;chapter=&amp;article=" TargetMode="External"/><Relationship Id="rId17" Type="http://schemas.openxmlformats.org/officeDocument/2006/relationships/hyperlink" Target="https://www.latimes.com/environment/story/2024-06-26/california-clean-water-solutions-will-cost-11-5-billion" TargetMode="External"/><Relationship Id="rId2" Type="http://schemas.openxmlformats.org/officeDocument/2006/relationships/hyperlink" Target="https://www.researchgate.net/figure/a-Map-of-small-water-systems-serving-10-000-or-fewer-people-SWRCB-2016-record-of_fig2_358546329" TargetMode="External"/><Relationship Id="rId16" Type="http://schemas.openxmlformats.org/officeDocument/2006/relationships/hyperlink" Target="https://www.treasurer.ca.gov/pmia-laif/laif/index.asp" TargetMode="External"/><Relationship Id="rId1" Type="http://schemas.openxmlformats.org/officeDocument/2006/relationships/hyperlink" Target="https://www.epa.gov/system/files/documents/2022-10/DWSRF%20DAC%20Definitions%20Report_October%202022%20Updates_FINAL_508.pdf" TargetMode="External"/><Relationship Id="rId6" Type="http://schemas.openxmlformats.org/officeDocument/2006/relationships/hyperlink" Target="https://www.waterboards.ca.gov/water_issues/programs/hr2w/" TargetMode="External"/><Relationship Id="rId11" Type="http://schemas.openxmlformats.org/officeDocument/2006/relationships/hyperlink" Target="https://bawsca.org/" TargetMode="External"/><Relationship Id="rId5" Type="http://schemas.openxmlformats.org/officeDocument/2006/relationships/hyperlink" Target="https://www.waterboards.ca.gov/drinking_water/services/funding/Prop50.html" TargetMode="External"/><Relationship Id="rId15" Type="http://schemas.openxmlformats.org/officeDocument/2006/relationships/hyperlink" Target="https://19january2021snapshot.epa.gov/dwcapacity/check-program-small-systems-cupss-asset-management-tool_.html" TargetMode="External"/><Relationship Id="rId10" Type="http://schemas.openxmlformats.org/officeDocument/2006/relationships/hyperlink" Target="https://sldmwa.org/" TargetMode="External"/><Relationship Id="rId4" Type="http://schemas.openxmlformats.org/officeDocument/2006/relationships/hyperlink" Target="https://theavtimes.com/2020/04/30/op-ed-av-residents-face-more-than-their-fair-share-of-drinking-water-problems/" TargetMode="External"/><Relationship Id="rId9" Type="http://schemas.openxmlformats.org/officeDocument/2006/relationships/hyperlink" Target="https://leginfo.legislature.ca.gov/faces/codes_displayText.xhtml?lawCode=GOV&amp;division=7.&amp;title=1.&amp;part=&amp;chapter=5.&amp;article=1." TargetMode="External"/><Relationship Id="rId14" Type="http://schemas.openxmlformats.org/officeDocument/2006/relationships/hyperlink" Target="https://www.californiawater.org/2022/04/30/city-of-fresno-department-of-public-utilitiesregional-consolidation-feasibility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69CF-A913-442B-9246-EF7A2F34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Sargeant Green</dc:creator>
  <cp:keywords/>
  <dc:description/>
  <cp:lastModifiedBy>Sargeant Green</cp:lastModifiedBy>
  <cp:revision>2</cp:revision>
  <dcterms:created xsi:type="dcterms:W3CDTF">2024-08-21T19:30:00Z</dcterms:created>
  <dcterms:modified xsi:type="dcterms:W3CDTF">2024-08-21T19:30:00Z</dcterms:modified>
</cp:coreProperties>
</file>